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BB6" w:rsidRPr="00546BB6" w:rsidRDefault="00546BB6" w:rsidP="00546BB6">
      <w:pPr>
        <w:rPr>
          <w:rFonts w:ascii="Arial" w:hAnsi="Arial" w:cs="Arial"/>
        </w:rPr>
      </w:pP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A640FA" w:rsidRPr="00546BB6" w:rsidTr="00A640FA">
        <w:trPr>
          <w:trHeight w:val="685"/>
        </w:trPr>
        <w:tc>
          <w:tcPr>
            <w:tcW w:w="10206" w:type="dxa"/>
          </w:tcPr>
          <w:p w:rsidR="00A640FA" w:rsidRPr="00A640FA" w:rsidRDefault="00A640FA" w:rsidP="00A640FA">
            <w:pPr>
              <w:spacing w:after="0"/>
              <w:jc w:val="center"/>
              <w:rPr>
                <w:rFonts w:ascii="Arial" w:hAnsi="Arial" w:cs="Arial"/>
                <w:b/>
                <w:sz w:val="32"/>
                <w:szCs w:val="32"/>
              </w:rPr>
            </w:pPr>
            <w:r w:rsidRPr="00A640FA">
              <w:rPr>
                <w:rFonts w:ascii="Arial" w:hAnsi="Arial" w:cs="Arial"/>
                <w:b/>
                <w:sz w:val="32"/>
                <w:szCs w:val="32"/>
              </w:rPr>
              <w:t>Pupil Premium impact analysis for 2018/2019</w:t>
            </w:r>
          </w:p>
        </w:tc>
      </w:tr>
      <w:tr w:rsidR="00A640FA" w:rsidRPr="00546BB6" w:rsidTr="00A640FA">
        <w:trPr>
          <w:trHeight w:val="1124"/>
        </w:trPr>
        <w:tc>
          <w:tcPr>
            <w:tcW w:w="10206" w:type="dxa"/>
          </w:tcPr>
          <w:p w:rsidR="00A640FA" w:rsidRPr="00A640FA" w:rsidRDefault="00A640FA" w:rsidP="00546BB6">
            <w:pPr>
              <w:spacing w:after="0"/>
              <w:rPr>
                <w:rFonts w:ascii="Arial" w:hAnsi="Arial" w:cs="Arial"/>
                <w:b/>
                <w:sz w:val="24"/>
                <w:szCs w:val="24"/>
              </w:rPr>
            </w:pPr>
            <w:r w:rsidRPr="00A640FA">
              <w:rPr>
                <w:rFonts w:ascii="Arial" w:hAnsi="Arial" w:cs="Arial"/>
                <w:b/>
                <w:sz w:val="24"/>
                <w:szCs w:val="24"/>
              </w:rPr>
              <w:t>Summary</w:t>
            </w:r>
          </w:p>
          <w:p w:rsidR="00A640FA" w:rsidRDefault="00A640FA" w:rsidP="00282E83">
            <w:pPr>
              <w:spacing w:after="0"/>
              <w:rPr>
                <w:rFonts w:ascii="Arial" w:hAnsi="Arial" w:cs="Arial"/>
                <w:sz w:val="24"/>
                <w:szCs w:val="24"/>
              </w:rPr>
            </w:pPr>
            <w:r>
              <w:rPr>
                <w:rFonts w:ascii="Arial" w:hAnsi="Arial" w:cs="Arial"/>
                <w:sz w:val="24"/>
                <w:szCs w:val="24"/>
              </w:rPr>
              <w:t>This is an annual report to reflect on the impact that Pupil Premium spending has on the disadvantaged pupils at Penair.</w:t>
            </w:r>
          </w:p>
          <w:p w:rsidR="00A640FA" w:rsidRDefault="00A640FA" w:rsidP="00282E83">
            <w:pPr>
              <w:spacing w:after="0"/>
              <w:rPr>
                <w:rFonts w:ascii="Arial" w:hAnsi="Arial" w:cs="Arial"/>
                <w:sz w:val="24"/>
                <w:szCs w:val="24"/>
              </w:rPr>
            </w:pPr>
          </w:p>
          <w:p w:rsidR="00A640FA" w:rsidRDefault="00A640FA" w:rsidP="00282E83">
            <w:pPr>
              <w:spacing w:after="0"/>
              <w:rPr>
                <w:rFonts w:ascii="Arial" w:hAnsi="Arial" w:cs="Arial"/>
                <w:sz w:val="24"/>
                <w:szCs w:val="24"/>
              </w:rPr>
            </w:pPr>
            <w:r>
              <w:rPr>
                <w:rFonts w:ascii="Arial" w:hAnsi="Arial" w:cs="Arial"/>
                <w:sz w:val="24"/>
                <w:szCs w:val="24"/>
              </w:rPr>
              <w:t>The school received £215,000 in Pupil Premium funds this year, and the money is used to support many different aspects of our work in school.</w:t>
            </w:r>
          </w:p>
          <w:p w:rsidR="00A640FA" w:rsidRDefault="00A640FA" w:rsidP="00282E83">
            <w:pPr>
              <w:spacing w:after="0"/>
              <w:rPr>
                <w:rFonts w:ascii="Arial" w:hAnsi="Arial" w:cs="Arial"/>
                <w:sz w:val="24"/>
                <w:szCs w:val="24"/>
              </w:rPr>
            </w:pPr>
          </w:p>
          <w:p w:rsidR="00A640FA" w:rsidRDefault="00A640FA" w:rsidP="00CB3365">
            <w:pPr>
              <w:spacing w:after="0"/>
              <w:rPr>
                <w:rFonts w:ascii="Arial" w:hAnsi="Arial" w:cs="Arial"/>
                <w:sz w:val="24"/>
                <w:szCs w:val="24"/>
              </w:rPr>
            </w:pPr>
            <w:r>
              <w:rPr>
                <w:rFonts w:ascii="Arial" w:hAnsi="Arial" w:cs="Arial"/>
                <w:sz w:val="24"/>
                <w:szCs w:val="24"/>
              </w:rPr>
              <w:t>Penair School has undertaken a review of the Pupil Premium Strategy in working with Kingsbridge research school.  The focus of the Penair Pupil Premium strategy for 2019/2020 will be more specifically on Quality first teaching.  The Penair CPD team will ensure there is a consistent message in relation to the importance of the classroom teacher regarding the progress of the disadvantaged students.</w:t>
            </w:r>
          </w:p>
          <w:p w:rsidR="00A640FA" w:rsidRDefault="00A640FA" w:rsidP="00CB3365">
            <w:pPr>
              <w:spacing w:after="0"/>
              <w:rPr>
                <w:rFonts w:ascii="Arial" w:hAnsi="Arial" w:cs="Arial"/>
                <w:sz w:val="24"/>
                <w:szCs w:val="24"/>
              </w:rPr>
            </w:pPr>
          </w:p>
          <w:p w:rsidR="00A640FA" w:rsidRDefault="00A640FA" w:rsidP="00CB3365">
            <w:pPr>
              <w:spacing w:after="0"/>
              <w:rPr>
                <w:rFonts w:ascii="Arial" w:hAnsi="Arial" w:cs="Arial"/>
                <w:sz w:val="24"/>
                <w:szCs w:val="24"/>
              </w:rPr>
            </w:pPr>
            <w:r>
              <w:rPr>
                <w:rFonts w:ascii="Arial" w:hAnsi="Arial" w:cs="Arial"/>
                <w:sz w:val="24"/>
                <w:szCs w:val="24"/>
              </w:rPr>
              <w:t>A Governor review meeting took place in the summer term and a report was written for the Raising Achievement committee.</w:t>
            </w:r>
          </w:p>
          <w:p w:rsidR="00A640FA" w:rsidRPr="00546BB6" w:rsidRDefault="00A640FA" w:rsidP="00CB3365">
            <w:pPr>
              <w:spacing w:after="0"/>
              <w:rPr>
                <w:rFonts w:ascii="Arial" w:hAnsi="Arial" w:cs="Arial"/>
                <w:sz w:val="24"/>
                <w:szCs w:val="24"/>
              </w:rPr>
            </w:pPr>
          </w:p>
        </w:tc>
      </w:tr>
      <w:tr w:rsidR="00A640FA" w:rsidRPr="00546BB6" w:rsidTr="003E636F">
        <w:trPr>
          <w:trHeight w:val="4042"/>
        </w:trPr>
        <w:tc>
          <w:tcPr>
            <w:tcW w:w="10206" w:type="dxa"/>
          </w:tcPr>
          <w:p w:rsidR="00A640FA" w:rsidRPr="00546BB6" w:rsidRDefault="00A640FA" w:rsidP="00546BB6">
            <w:pPr>
              <w:rPr>
                <w:rFonts w:ascii="Arial" w:hAnsi="Arial" w:cs="Arial"/>
                <w:b/>
                <w:sz w:val="24"/>
                <w:szCs w:val="24"/>
              </w:rPr>
            </w:pPr>
            <w:r w:rsidRPr="00546BB6">
              <w:rPr>
                <w:rFonts w:ascii="Arial" w:hAnsi="Arial" w:cs="Arial"/>
                <w:b/>
                <w:sz w:val="24"/>
                <w:szCs w:val="24"/>
              </w:rPr>
              <w:t>Conclusions / Recommendations</w:t>
            </w:r>
          </w:p>
          <w:p w:rsidR="00A640FA" w:rsidRDefault="00A640FA" w:rsidP="00546BB6">
            <w:pPr>
              <w:spacing w:after="0"/>
              <w:jc w:val="both"/>
              <w:rPr>
                <w:rFonts w:ascii="Arial" w:hAnsi="Arial" w:cs="Arial"/>
                <w:sz w:val="24"/>
                <w:szCs w:val="24"/>
              </w:rPr>
            </w:pPr>
            <w:r>
              <w:rPr>
                <w:rFonts w:ascii="Arial" w:hAnsi="Arial" w:cs="Arial"/>
                <w:sz w:val="24"/>
                <w:szCs w:val="24"/>
              </w:rPr>
              <w:t>The balance of the Pupil Premium budget for 2019-2020, will reflect a greater emphasis on Teaching and Learning and supporting students to access Quality first teaching.  The Pastoral and Student welfare support will be essential to this but will not be the sole focus of Pupil Premium spending.</w:t>
            </w:r>
          </w:p>
          <w:p w:rsidR="00A640FA" w:rsidRDefault="00A640FA" w:rsidP="00282E83">
            <w:pPr>
              <w:spacing w:after="0"/>
              <w:jc w:val="both"/>
              <w:rPr>
                <w:rFonts w:ascii="Arial" w:hAnsi="Arial" w:cs="Arial"/>
                <w:sz w:val="24"/>
                <w:szCs w:val="24"/>
              </w:rPr>
            </w:pPr>
          </w:p>
          <w:p w:rsidR="00A640FA" w:rsidRDefault="00A640FA" w:rsidP="00282E83">
            <w:pPr>
              <w:spacing w:after="0"/>
              <w:jc w:val="both"/>
              <w:rPr>
                <w:rFonts w:ascii="Arial" w:hAnsi="Arial" w:cs="Arial"/>
                <w:sz w:val="24"/>
                <w:szCs w:val="24"/>
              </w:rPr>
            </w:pPr>
            <w:r>
              <w:rPr>
                <w:rFonts w:ascii="Arial" w:hAnsi="Arial" w:cs="Arial"/>
                <w:sz w:val="24"/>
                <w:szCs w:val="24"/>
              </w:rPr>
              <w:t>The understanding and promotion of the idea that the progress of disadvantaged pupils is ‘everybody’s responsibility’ will continue next year.</w:t>
            </w:r>
          </w:p>
          <w:p w:rsidR="00A640FA" w:rsidRDefault="00A640FA" w:rsidP="00282E83">
            <w:pPr>
              <w:spacing w:after="0"/>
              <w:jc w:val="both"/>
              <w:rPr>
                <w:rFonts w:ascii="Arial" w:hAnsi="Arial" w:cs="Arial"/>
                <w:sz w:val="24"/>
                <w:szCs w:val="24"/>
              </w:rPr>
            </w:pPr>
          </w:p>
          <w:p w:rsidR="00A640FA" w:rsidRDefault="00A640FA" w:rsidP="00282E83">
            <w:pPr>
              <w:spacing w:after="0"/>
              <w:jc w:val="both"/>
              <w:rPr>
                <w:rFonts w:ascii="Arial" w:hAnsi="Arial" w:cs="Arial"/>
                <w:sz w:val="24"/>
                <w:szCs w:val="24"/>
              </w:rPr>
            </w:pPr>
            <w:r>
              <w:rPr>
                <w:rFonts w:ascii="Arial" w:hAnsi="Arial" w:cs="Arial"/>
                <w:sz w:val="24"/>
                <w:szCs w:val="24"/>
              </w:rPr>
              <w:t>The recommendations overleaf have been colour-coded according to their level of success. Darker green denotes a more successful provision lighter green is a less effective provision in measuring impact.</w:t>
            </w:r>
          </w:p>
          <w:p w:rsidR="00A640FA" w:rsidRPr="00546BB6" w:rsidRDefault="00A640FA" w:rsidP="00282E83">
            <w:pPr>
              <w:spacing w:after="0"/>
              <w:jc w:val="both"/>
              <w:rPr>
                <w:rFonts w:ascii="Arial" w:hAnsi="Arial" w:cs="Arial"/>
                <w:b/>
                <w:sz w:val="24"/>
                <w:szCs w:val="24"/>
              </w:rPr>
            </w:pPr>
          </w:p>
        </w:tc>
      </w:tr>
    </w:tbl>
    <w:p w:rsidR="000322E4" w:rsidRDefault="000322E4" w:rsidP="00546BB6">
      <w:pPr>
        <w:rPr>
          <w:b/>
          <w:sz w:val="28"/>
          <w:szCs w:val="28"/>
        </w:rPr>
      </w:pPr>
    </w:p>
    <w:p w:rsidR="00A640FA" w:rsidRDefault="00A640FA" w:rsidP="00546BB6">
      <w:pPr>
        <w:rPr>
          <w:b/>
          <w:sz w:val="28"/>
          <w:szCs w:val="28"/>
        </w:rPr>
      </w:pPr>
    </w:p>
    <w:p w:rsidR="00A640FA" w:rsidRDefault="00A640FA" w:rsidP="00546BB6">
      <w:pPr>
        <w:rPr>
          <w:b/>
          <w:sz w:val="28"/>
          <w:szCs w:val="28"/>
        </w:rPr>
      </w:pPr>
    </w:p>
    <w:p w:rsidR="00A640FA" w:rsidRDefault="00A640FA" w:rsidP="00546BB6">
      <w:pPr>
        <w:rPr>
          <w:b/>
          <w:sz w:val="28"/>
          <w:szCs w:val="28"/>
        </w:rPr>
      </w:pPr>
    </w:p>
    <w:p w:rsidR="00A640FA" w:rsidRDefault="00A640FA" w:rsidP="00546BB6">
      <w:pPr>
        <w:rPr>
          <w:b/>
          <w:sz w:val="28"/>
          <w:szCs w:val="28"/>
        </w:rPr>
      </w:pPr>
    </w:p>
    <w:p w:rsidR="00A640FA" w:rsidRDefault="00A640FA" w:rsidP="00546BB6">
      <w:pPr>
        <w:rPr>
          <w:b/>
          <w:sz w:val="28"/>
          <w:szCs w:val="28"/>
        </w:rPr>
      </w:pPr>
    </w:p>
    <w:p w:rsidR="00A640FA" w:rsidRDefault="00A640FA" w:rsidP="00546BB6">
      <w:pPr>
        <w:rPr>
          <w:b/>
          <w:sz w:val="28"/>
          <w:szCs w:val="28"/>
        </w:rPr>
      </w:pPr>
    </w:p>
    <w:p w:rsidR="00A640FA" w:rsidRDefault="00A640FA" w:rsidP="00546BB6">
      <w:pPr>
        <w:rPr>
          <w:b/>
          <w:sz w:val="28"/>
          <w:szCs w:val="28"/>
        </w:rPr>
      </w:pPr>
    </w:p>
    <w:p w:rsidR="00A640FA" w:rsidRDefault="00A640FA" w:rsidP="00546BB6">
      <w:pPr>
        <w:rPr>
          <w:b/>
          <w:sz w:val="28"/>
          <w:szCs w:val="28"/>
        </w:rPr>
      </w:pPr>
    </w:p>
    <w:p w:rsidR="00A640FA" w:rsidRDefault="00A640FA" w:rsidP="00546BB6">
      <w:pPr>
        <w:rPr>
          <w:b/>
          <w:sz w:val="28"/>
          <w:szCs w:val="28"/>
        </w:rPr>
      </w:pPr>
    </w:p>
    <w:tbl>
      <w:tblPr>
        <w:tblStyle w:val="TableGrid"/>
        <w:tblW w:w="0" w:type="auto"/>
        <w:tblLook w:val="04A0" w:firstRow="1" w:lastRow="0" w:firstColumn="1" w:lastColumn="0" w:noHBand="0" w:noVBand="1"/>
      </w:tblPr>
      <w:tblGrid>
        <w:gridCol w:w="1786"/>
        <w:gridCol w:w="1231"/>
        <w:gridCol w:w="4692"/>
        <w:gridCol w:w="2747"/>
      </w:tblGrid>
      <w:tr w:rsidR="00A640FA" w:rsidTr="004C6E97">
        <w:trPr>
          <w:trHeight w:val="1252"/>
        </w:trPr>
        <w:tc>
          <w:tcPr>
            <w:tcW w:w="1786" w:type="dxa"/>
            <w:vAlign w:val="center"/>
          </w:tcPr>
          <w:p w:rsidR="00A640FA" w:rsidRDefault="00A640FA" w:rsidP="00E23C8C">
            <w:pPr>
              <w:jc w:val="center"/>
              <w:rPr>
                <w:b/>
                <w:sz w:val="28"/>
                <w:szCs w:val="28"/>
              </w:rPr>
            </w:pPr>
            <w:r>
              <w:rPr>
                <w:b/>
                <w:sz w:val="28"/>
                <w:szCs w:val="28"/>
              </w:rPr>
              <w:t>Provision</w:t>
            </w:r>
          </w:p>
          <w:p w:rsidR="00A640FA" w:rsidRPr="00466DE3" w:rsidRDefault="00A640FA" w:rsidP="00E23C8C">
            <w:pPr>
              <w:jc w:val="center"/>
              <w:rPr>
                <w:b/>
                <w:sz w:val="20"/>
                <w:szCs w:val="20"/>
              </w:rPr>
            </w:pPr>
            <w:r w:rsidRPr="00466DE3">
              <w:rPr>
                <w:b/>
                <w:color w:val="00B050"/>
                <w:sz w:val="20"/>
                <w:szCs w:val="20"/>
              </w:rPr>
              <w:t>(and effectiveness)</w:t>
            </w:r>
          </w:p>
        </w:tc>
        <w:tc>
          <w:tcPr>
            <w:tcW w:w="1231" w:type="dxa"/>
            <w:vAlign w:val="center"/>
          </w:tcPr>
          <w:p w:rsidR="00A640FA" w:rsidRPr="00BD0C20" w:rsidRDefault="00A640FA" w:rsidP="00E23C8C">
            <w:pPr>
              <w:rPr>
                <w:b/>
                <w:sz w:val="20"/>
                <w:szCs w:val="20"/>
              </w:rPr>
            </w:pPr>
            <w:r w:rsidRPr="00BD0C20">
              <w:rPr>
                <w:b/>
                <w:sz w:val="20"/>
                <w:szCs w:val="20"/>
              </w:rPr>
              <w:t>Allocated spend</w:t>
            </w:r>
          </w:p>
          <w:p w:rsidR="00A640FA" w:rsidRPr="00BD0C20" w:rsidRDefault="00A640FA" w:rsidP="00D13D61">
            <w:pPr>
              <w:rPr>
                <w:b/>
                <w:sz w:val="20"/>
                <w:szCs w:val="20"/>
              </w:rPr>
            </w:pPr>
          </w:p>
        </w:tc>
        <w:tc>
          <w:tcPr>
            <w:tcW w:w="4692" w:type="dxa"/>
            <w:vAlign w:val="center"/>
          </w:tcPr>
          <w:p w:rsidR="00A640FA" w:rsidRDefault="00A640FA" w:rsidP="00E23C8C">
            <w:pPr>
              <w:jc w:val="center"/>
              <w:rPr>
                <w:b/>
                <w:sz w:val="28"/>
                <w:szCs w:val="28"/>
              </w:rPr>
            </w:pPr>
            <w:r>
              <w:rPr>
                <w:b/>
                <w:sz w:val="28"/>
                <w:szCs w:val="28"/>
              </w:rPr>
              <w:t>Impact analysis</w:t>
            </w:r>
          </w:p>
        </w:tc>
        <w:tc>
          <w:tcPr>
            <w:tcW w:w="2747" w:type="dxa"/>
            <w:vAlign w:val="center"/>
          </w:tcPr>
          <w:p w:rsidR="00A640FA" w:rsidRDefault="00A640FA" w:rsidP="00E23C8C">
            <w:pPr>
              <w:jc w:val="center"/>
              <w:rPr>
                <w:b/>
                <w:sz w:val="28"/>
                <w:szCs w:val="28"/>
              </w:rPr>
            </w:pPr>
            <w:r>
              <w:rPr>
                <w:b/>
                <w:sz w:val="28"/>
                <w:szCs w:val="28"/>
              </w:rPr>
              <w:t>Recommendations for the next Academic year</w:t>
            </w:r>
          </w:p>
        </w:tc>
      </w:tr>
      <w:tr w:rsidR="00A640FA" w:rsidTr="00730709">
        <w:trPr>
          <w:trHeight w:val="9668"/>
        </w:trPr>
        <w:tc>
          <w:tcPr>
            <w:tcW w:w="1786" w:type="dxa"/>
            <w:shd w:val="clear" w:color="auto" w:fill="538135" w:themeFill="accent6" w:themeFillShade="BF"/>
            <w:vAlign w:val="center"/>
          </w:tcPr>
          <w:p w:rsidR="00A640FA" w:rsidRPr="000322E4" w:rsidRDefault="00A640FA" w:rsidP="00E23C8C">
            <w:pPr>
              <w:jc w:val="center"/>
              <w:rPr>
                <w:b/>
                <w:sz w:val="24"/>
                <w:szCs w:val="24"/>
              </w:rPr>
            </w:pPr>
            <w:r>
              <w:rPr>
                <w:b/>
                <w:sz w:val="24"/>
                <w:szCs w:val="24"/>
              </w:rPr>
              <w:t>Student Welfare Officers and EWO services</w:t>
            </w:r>
          </w:p>
        </w:tc>
        <w:tc>
          <w:tcPr>
            <w:tcW w:w="1231" w:type="dxa"/>
          </w:tcPr>
          <w:p w:rsidR="00A640FA" w:rsidRPr="005A01A4" w:rsidRDefault="00A640FA" w:rsidP="00546BB6">
            <w:pPr>
              <w:rPr>
                <w:sz w:val="20"/>
                <w:szCs w:val="20"/>
              </w:rPr>
            </w:pPr>
            <w:r w:rsidRPr="005A01A4">
              <w:rPr>
                <w:sz w:val="20"/>
                <w:szCs w:val="20"/>
              </w:rPr>
              <w:t>£102,988</w:t>
            </w:r>
          </w:p>
          <w:p w:rsidR="00A640FA" w:rsidRDefault="00A640FA" w:rsidP="00546BB6">
            <w:pPr>
              <w:rPr>
                <w:sz w:val="20"/>
                <w:szCs w:val="20"/>
              </w:rPr>
            </w:pPr>
            <w:r w:rsidRPr="005A01A4">
              <w:rPr>
                <w:sz w:val="20"/>
                <w:szCs w:val="20"/>
              </w:rPr>
              <w:t>(SWO and EWO costs)</w:t>
            </w:r>
          </w:p>
        </w:tc>
        <w:tc>
          <w:tcPr>
            <w:tcW w:w="4692" w:type="dxa"/>
          </w:tcPr>
          <w:p w:rsidR="00A640FA" w:rsidRPr="00980314" w:rsidRDefault="00A640FA" w:rsidP="00C21AFB">
            <w:pPr>
              <w:shd w:val="clear" w:color="auto" w:fill="FFFFFF"/>
              <w:rPr>
                <w:rFonts w:ascii="Calibri" w:eastAsia="Times New Roman" w:hAnsi="Calibri" w:cs="Segoe UI"/>
                <w:sz w:val="24"/>
                <w:szCs w:val="24"/>
                <w:lang w:eastAsia="en-GB"/>
              </w:rPr>
            </w:pPr>
            <w:r w:rsidRPr="00980314">
              <w:rPr>
                <w:rFonts w:ascii="Calibri" w:eastAsia="Times New Roman" w:hAnsi="Calibri" w:cs="Segoe UI"/>
                <w:b/>
                <w:bCs/>
                <w:sz w:val="24"/>
                <w:szCs w:val="24"/>
                <w:lang w:eastAsia="en-GB"/>
              </w:rPr>
              <w:t>1-2-1 and regular support</w:t>
            </w:r>
            <w:r>
              <w:rPr>
                <w:rFonts w:ascii="Calibri" w:eastAsia="Times New Roman" w:hAnsi="Calibri" w:cs="Segoe UI"/>
                <w:b/>
                <w:bCs/>
                <w:sz w:val="24"/>
                <w:szCs w:val="24"/>
                <w:lang w:eastAsia="en-GB"/>
              </w:rPr>
              <w:t xml:space="preserve"> from the SWOs</w:t>
            </w:r>
          </w:p>
          <w:p w:rsidR="00A640FA" w:rsidRPr="00570A9F" w:rsidRDefault="00A640FA" w:rsidP="00C21AFB">
            <w:pPr>
              <w:shd w:val="clear" w:color="auto" w:fill="FFFFFF"/>
              <w:rPr>
                <w:rFonts w:ascii="Calibri" w:eastAsia="Times New Roman" w:hAnsi="Calibri" w:cs="Segoe UI"/>
                <w:color w:val="FF0000"/>
                <w:sz w:val="24"/>
                <w:szCs w:val="24"/>
                <w:lang w:eastAsia="en-GB"/>
              </w:rPr>
            </w:pPr>
            <w:r>
              <w:rPr>
                <w:rFonts w:ascii="Calibri" w:eastAsia="Times New Roman" w:hAnsi="Calibri" w:cs="Segoe UI"/>
                <w:sz w:val="24"/>
                <w:szCs w:val="24"/>
                <w:lang w:eastAsia="en-GB"/>
              </w:rPr>
              <w:t>Of the 74</w:t>
            </w:r>
            <w:r w:rsidRPr="00980314">
              <w:rPr>
                <w:rFonts w:ascii="Calibri" w:eastAsia="Times New Roman" w:hAnsi="Calibri" w:cs="Segoe UI"/>
                <w:sz w:val="24"/>
                <w:szCs w:val="24"/>
                <w:lang w:eastAsia="en-GB"/>
              </w:rPr>
              <w:t xml:space="preserve"> students seen re</w:t>
            </w:r>
            <w:r>
              <w:rPr>
                <w:rFonts w:ascii="Calibri" w:eastAsia="Times New Roman" w:hAnsi="Calibri" w:cs="Segoe UI"/>
                <w:sz w:val="24"/>
                <w:szCs w:val="24"/>
                <w:lang w:eastAsia="en-GB"/>
              </w:rPr>
              <w:t>gularly in KS4 over the year, 32</w:t>
            </w:r>
            <w:r w:rsidRPr="00980314">
              <w:rPr>
                <w:rFonts w:ascii="Calibri" w:eastAsia="Times New Roman" w:hAnsi="Calibri" w:cs="Segoe UI"/>
                <w:sz w:val="24"/>
                <w:szCs w:val="24"/>
                <w:lang w:eastAsia="en-GB"/>
              </w:rPr>
              <w:t xml:space="preserve"> of them are o</w:t>
            </w:r>
            <w:r>
              <w:rPr>
                <w:rFonts w:ascii="Calibri" w:eastAsia="Times New Roman" w:hAnsi="Calibri" w:cs="Segoe UI"/>
                <w:sz w:val="24"/>
                <w:szCs w:val="24"/>
                <w:lang w:eastAsia="en-GB"/>
              </w:rPr>
              <w:t>n the Pupil Premium register (43</w:t>
            </w:r>
            <w:r w:rsidRPr="00980314">
              <w:rPr>
                <w:rFonts w:ascii="Calibri" w:eastAsia="Times New Roman" w:hAnsi="Calibri" w:cs="Segoe UI"/>
                <w:sz w:val="24"/>
                <w:szCs w:val="24"/>
                <w:lang w:eastAsia="en-GB"/>
              </w:rPr>
              <w:t xml:space="preserve">%). </w:t>
            </w:r>
            <w:r w:rsidRPr="00910A4A">
              <w:rPr>
                <w:rFonts w:ascii="Calibri" w:eastAsia="Times New Roman" w:hAnsi="Calibri" w:cs="Segoe UI"/>
                <w:sz w:val="24"/>
                <w:szCs w:val="24"/>
                <w:lang w:eastAsia="en-GB"/>
              </w:rPr>
              <w:t>Of the 103 KS3 students regularly seen</w:t>
            </w:r>
            <w:r>
              <w:rPr>
                <w:rFonts w:ascii="Calibri" w:eastAsia="Times New Roman" w:hAnsi="Calibri" w:cs="Segoe UI"/>
                <w:sz w:val="24"/>
                <w:szCs w:val="24"/>
                <w:lang w:eastAsia="en-GB"/>
              </w:rPr>
              <w:t>,</w:t>
            </w:r>
            <w:r w:rsidRPr="00910A4A">
              <w:rPr>
                <w:rFonts w:ascii="Calibri" w:eastAsia="Times New Roman" w:hAnsi="Calibri" w:cs="Segoe UI"/>
                <w:sz w:val="24"/>
                <w:szCs w:val="24"/>
                <w:lang w:eastAsia="en-GB"/>
              </w:rPr>
              <w:t xml:space="preserve"> 50% are disadvantaged.</w:t>
            </w:r>
          </w:p>
          <w:p w:rsidR="00A640FA" w:rsidRPr="00570A9F" w:rsidRDefault="00A640FA" w:rsidP="00C21AFB">
            <w:pPr>
              <w:shd w:val="clear" w:color="auto" w:fill="FFFFFF"/>
              <w:rPr>
                <w:rFonts w:ascii="Calibri" w:eastAsia="Times New Roman" w:hAnsi="Calibri" w:cs="Segoe UI"/>
                <w:color w:val="FF0000"/>
                <w:sz w:val="24"/>
                <w:szCs w:val="24"/>
                <w:lang w:eastAsia="en-GB"/>
              </w:rPr>
            </w:pPr>
          </w:p>
          <w:p w:rsidR="00A640FA" w:rsidRPr="00980314" w:rsidRDefault="00A640FA" w:rsidP="00C21AFB">
            <w:pPr>
              <w:shd w:val="clear" w:color="auto" w:fill="FFFFFF"/>
              <w:rPr>
                <w:rFonts w:ascii="Calibri" w:eastAsia="Times New Roman" w:hAnsi="Calibri" w:cs="Segoe UI"/>
                <w:b/>
                <w:sz w:val="24"/>
                <w:szCs w:val="24"/>
                <w:lang w:eastAsia="en-GB"/>
              </w:rPr>
            </w:pPr>
            <w:r w:rsidRPr="00980314">
              <w:rPr>
                <w:rFonts w:ascii="Calibri" w:eastAsia="Times New Roman" w:hAnsi="Calibri" w:cs="Segoe UI"/>
                <w:b/>
                <w:sz w:val="24"/>
                <w:szCs w:val="24"/>
                <w:lang w:eastAsia="en-GB"/>
              </w:rPr>
              <w:t>Attendance interventions</w:t>
            </w:r>
          </w:p>
          <w:p w:rsidR="00A640FA" w:rsidRDefault="00A640FA" w:rsidP="00C21AFB">
            <w:pPr>
              <w:shd w:val="clear" w:color="auto" w:fill="FFFFFF"/>
              <w:rPr>
                <w:rFonts w:ascii="Calibri" w:hAnsi="Calibri"/>
                <w:color w:val="FF0000"/>
                <w:sz w:val="24"/>
                <w:szCs w:val="24"/>
                <w:shd w:val="clear" w:color="auto" w:fill="FFFFFF"/>
              </w:rPr>
            </w:pPr>
            <w:r w:rsidRPr="00980314">
              <w:rPr>
                <w:rFonts w:ascii="Calibri" w:eastAsia="Times New Roman" w:hAnsi="Calibri" w:cs="Segoe UI"/>
                <w:sz w:val="24"/>
                <w:szCs w:val="24"/>
                <w:lang w:eastAsia="en-GB"/>
              </w:rPr>
              <w:t xml:space="preserve">150 students in KS3 have received attendance intervention this year as their attendance is below the school target of 96%. Of these students 52 (35% are Pupil Premium). This is a reduction in the PP percentage from last year. </w:t>
            </w:r>
            <w:r w:rsidRPr="000F4790">
              <w:rPr>
                <w:rFonts w:ascii="Calibri" w:hAnsi="Calibri"/>
                <w:sz w:val="24"/>
                <w:szCs w:val="24"/>
                <w:shd w:val="clear" w:color="auto" w:fill="FFFFFF"/>
              </w:rPr>
              <w:t xml:space="preserve">In KS4, the attendance is tracked of </w:t>
            </w:r>
            <w:r>
              <w:rPr>
                <w:rFonts w:ascii="Calibri" w:hAnsi="Calibri"/>
                <w:sz w:val="24"/>
                <w:szCs w:val="24"/>
                <w:shd w:val="clear" w:color="auto" w:fill="FFFFFF"/>
              </w:rPr>
              <w:t xml:space="preserve">the </w:t>
            </w:r>
            <w:r w:rsidRPr="000F4790">
              <w:rPr>
                <w:rFonts w:ascii="Calibri" w:hAnsi="Calibri"/>
                <w:sz w:val="24"/>
                <w:szCs w:val="24"/>
                <w:shd w:val="clear" w:color="auto" w:fill="FFFFFF"/>
              </w:rPr>
              <w:t>71 students who are under 90%.  17 (24%) of them are disadvantaged.</w:t>
            </w:r>
            <w:r>
              <w:rPr>
                <w:rFonts w:ascii="Calibri" w:hAnsi="Calibri"/>
                <w:sz w:val="24"/>
                <w:szCs w:val="24"/>
                <w:shd w:val="clear" w:color="auto" w:fill="FFFFFF"/>
              </w:rPr>
              <w:t xml:space="preserve">  In KS3, the attendance is tracked of the 80 students who are under 90%, 27 (34%) are also disadvantaged.  </w:t>
            </w:r>
          </w:p>
          <w:p w:rsidR="00A640FA" w:rsidRPr="00980314" w:rsidRDefault="00A640FA" w:rsidP="00C21AFB">
            <w:pPr>
              <w:shd w:val="clear" w:color="auto" w:fill="FFFFFF"/>
              <w:rPr>
                <w:rFonts w:ascii="Calibri" w:hAnsi="Calibri"/>
                <w:sz w:val="24"/>
                <w:szCs w:val="24"/>
                <w:shd w:val="clear" w:color="auto" w:fill="FFFFFF"/>
              </w:rPr>
            </w:pPr>
            <w:r w:rsidRPr="00980314">
              <w:rPr>
                <w:rFonts w:ascii="Calibri" w:hAnsi="Calibri"/>
                <w:sz w:val="24"/>
                <w:szCs w:val="24"/>
                <w:shd w:val="clear" w:color="auto" w:fill="FFFFFF"/>
              </w:rPr>
              <w:t>Attendance clinics were held with Mr Sharpe, Student welfare Officers and the EWO for 28 students this year.</w:t>
            </w:r>
            <w:r>
              <w:rPr>
                <w:rFonts w:ascii="Calibri" w:hAnsi="Calibri"/>
                <w:sz w:val="24"/>
                <w:szCs w:val="24"/>
                <w:shd w:val="clear" w:color="auto" w:fill="FFFFFF"/>
              </w:rPr>
              <w:t xml:space="preserve"> 18 of these (64% are pupil premium). The statistics show that following an attendance clinic intervention 24 out of 28 students (86%) have improved their attendance.</w:t>
            </w:r>
          </w:p>
          <w:p w:rsidR="00A640FA" w:rsidRPr="00570A9F" w:rsidRDefault="00A640FA" w:rsidP="006218BA">
            <w:pPr>
              <w:shd w:val="clear" w:color="auto" w:fill="FFFFFF"/>
              <w:rPr>
                <w:rFonts w:ascii="Calibri" w:eastAsia="Times New Roman" w:hAnsi="Calibri" w:cs="Segoe UI"/>
                <w:color w:val="FF0000"/>
                <w:sz w:val="24"/>
                <w:szCs w:val="24"/>
                <w:lang w:eastAsia="en-GB"/>
              </w:rPr>
            </w:pPr>
            <w:r w:rsidRPr="00910A4A">
              <w:rPr>
                <w:rFonts w:ascii="Calibri" w:hAnsi="Calibri"/>
                <w:sz w:val="24"/>
                <w:szCs w:val="24"/>
                <w:shd w:val="clear" w:color="auto" w:fill="FFFFFF"/>
              </w:rPr>
              <w:t>25 students have been referred to the EWO this year. The percentage of students who are disadvantaged is 72%, which demonstrates that these are often the more serious cases and require additional funded support. This statistic has fallen by 5% from the previous year.</w:t>
            </w:r>
          </w:p>
        </w:tc>
        <w:tc>
          <w:tcPr>
            <w:tcW w:w="2747" w:type="dxa"/>
          </w:tcPr>
          <w:p w:rsidR="00A640FA" w:rsidRDefault="00A640FA" w:rsidP="005378E3">
            <w:pPr>
              <w:shd w:val="clear" w:color="auto" w:fill="FFFFFF"/>
              <w:rPr>
                <w:rFonts w:ascii="Calibri" w:hAnsi="Calibri"/>
              </w:rPr>
            </w:pPr>
            <w:r w:rsidRPr="00980314">
              <w:rPr>
                <w:rFonts w:ascii="Calibri" w:hAnsi="Calibri"/>
              </w:rPr>
              <w:t xml:space="preserve">All of the SWOs work both 1:1 and in small group support sessions.  Their work is both pro-active as well as reactionary.  They work closely with </w:t>
            </w:r>
            <w:r>
              <w:rPr>
                <w:rFonts w:ascii="Calibri" w:hAnsi="Calibri"/>
              </w:rPr>
              <w:t>students</w:t>
            </w:r>
            <w:r w:rsidRPr="00980314">
              <w:rPr>
                <w:rFonts w:ascii="Calibri" w:hAnsi="Calibri"/>
              </w:rPr>
              <w:t>, parents and over 20 outside agencies.  The SWOs are all able to provide positive case studies where they have had an impact on a young person as they have helped them through difficult times.</w:t>
            </w:r>
            <w:r>
              <w:rPr>
                <w:rFonts w:ascii="Calibri" w:hAnsi="Calibri"/>
              </w:rPr>
              <w:t xml:space="preserve">  </w:t>
            </w:r>
          </w:p>
          <w:p w:rsidR="00A640FA" w:rsidRDefault="00A640FA" w:rsidP="005378E3">
            <w:pPr>
              <w:shd w:val="clear" w:color="auto" w:fill="FFFFFF"/>
              <w:rPr>
                <w:rFonts w:ascii="Calibri" w:hAnsi="Calibri"/>
              </w:rPr>
            </w:pPr>
          </w:p>
          <w:p w:rsidR="00A640FA" w:rsidRPr="00980314" w:rsidRDefault="00A640FA" w:rsidP="005378E3">
            <w:pPr>
              <w:shd w:val="clear" w:color="auto" w:fill="FFFFFF"/>
              <w:rPr>
                <w:rFonts w:ascii="Calibri" w:hAnsi="Calibri"/>
              </w:rPr>
            </w:pPr>
            <w:r>
              <w:rPr>
                <w:rFonts w:ascii="Calibri" w:hAnsi="Calibri"/>
              </w:rPr>
              <w:t>Unfortunately, despite many individual successes this year, low attendance remains a barrier for many of our disadvantaged students.</w:t>
            </w:r>
          </w:p>
          <w:p w:rsidR="00A640FA" w:rsidRPr="00570A9F" w:rsidRDefault="00A640FA" w:rsidP="004D6EF6">
            <w:pPr>
              <w:shd w:val="clear" w:color="auto" w:fill="FFFFFF"/>
              <w:rPr>
                <w:b/>
                <w:color w:val="FF0000"/>
              </w:rPr>
            </w:pPr>
          </w:p>
        </w:tc>
      </w:tr>
      <w:tr w:rsidR="00A640FA" w:rsidTr="002F4055">
        <w:trPr>
          <w:trHeight w:val="7446"/>
        </w:trPr>
        <w:tc>
          <w:tcPr>
            <w:tcW w:w="1786" w:type="dxa"/>
            <w:shd w:val="clear" w:color="auto" w:fill="538135" w:themeFill="accent6" w:themeFillShade="BF"/>
            <w:vAlign w:val="center"/>
          </w:tcPr>
          <w:p w:rsidR="00A640FA" w:rsidRPr="000322E4" w:rsidRDefault="00A640FA" w:rsidP="00E23C8C">
            <w:pPr>
              <w:jc w:val="center"/>
              <w:rPr>
                <w:b/>
                <w:sz w:val="24"/>
                <w:szCs w:val="24"/>
              </w:rPr>
            </w:pPr>
            <w:r>
              <w:rPr>
                <w:b/>
                <w:sz w:val="24"/>
                <w:szCs w:val="24"/>
              </w:rPr>
              <w:t>Homework Club</w:t>
            </w:r>
          </w:p>
        </w:tc>
        <w:tc>
          <w:tcPr>
            <w:tcW w:w="1231" w:type="dxa"/>
          </w:tcPr>
          <w:p w:rsidR="00A640FA" w:rsidRPr="00BD0C20" w:rsidRDefault="00A640FA" w:rsidP="00546BB6">
            <w:pPr>
              <w:rPr>
                <w:sz w:val="20"/>
                <w:szCs w:val="20"/>
              </w:rPr>
            </w:pPr>
            <w:r>
              <w:rPr>
                <w:sz w:val="20"/>
                <w:szCs w:val="20"/>
              </w:rPr>
              <w:t>£3,134 (TA hours) plus refreshment costs</w:t>
            </w:r>
          </w:p>
        </w:tc>
        <w:tc>
          <w:tcPr>
            <w:tcW w:w="4692" w:type="dxa"/>
          </w:tcPr>
          <w:p w:rsidR="00A640FA" w:rsidRDefault="00A640FA" w:rsidP="00C21AFB">
            <w:pPr>
              <w:rPr>
                <w:rFonts w:ascii="Calibri" w:hAnsi="Calibri" w:cs="Calibri"/>
                <w:color w:val="000000"/>
              </w:rPr>
            </w:pPr>
            <w:r w:rsidRPr="00651E19">
              <w:rPr>
                <w:rFonts w:ascii="Calibri" w:hAnsi="Calibri"/>
                <w:sz w:val="24"/>
                <w:szCs w:val="24"/>
              </w:rPr>
              <w:t>Homework club is not exclusively for disadvantaged pupils however, the intervention was initiated with these pupils in mind.</w:t>
            </w:r>
            <w:r>
              <w:rPr>
                <w:rFonts w:ascii="Calibri" w:hAnsi="Calibri"/>
                <w:sz w:val="24"/>
                <w:szCs w:val="24"/>
              </w:rPr>
              <w:t xml:space="preserve">  This continues to be a very popular and essential resource with our students. </w:t>
            </w:r>
            <w:r>
              <w:rPr>
                <w:rFonts w:ascii="Calibri" w:hAnsi="Calibri" w:cs="Calibri"/>
                <w:color w:val="000000"/>
              </w:rPr>
              <w:t xml:space="preserve">The record number for attendance was 40 (near the beginning of the year), but on a daily basis between 10 and 20 students attend. </w:t>
            </w:r>
          </w:p>
          <w:p w:rsidR="00A640FA" w:rsidRPr="00651E19" w:rsidRDefault="00A640FA" w:rsidP="00C21AFB">
            <w:pPr>
              <w:rPr>
                <w:rFonts w:ascii="Calibri" w:hAnsi="Calibri"/>
                <w:sz w:val="24"/>
                <w:szCs w:val="24"/>
              </w:rPr>
            </w:pPr>
            <w:r>
              <w:rPr>
                <w:rFonts w:ascii="Calibri" w:hAnsi="Calibri" w:cs="Calibri"/>
                <w:color w:val="000000"/>
              </w:rPr>
              <w:t>245 students have accessed Homework support this year and 57 (23% are disadvantaged).  This is in line with the school proportion of disadvantaged students overall.</w:t>
            </w:r>
          </w:p>
          <w:p w:rsidR="00A640FA" w:rsidRDefault="00A640FA" w:rsidP="00305158">
            <w:pPr>
              <w:rPr>
                <w:rFonts w:ascii="Calibri" w:hAnsi="Calibri"/>
                <w:color w:val="FF0000"/>
                <w:sz w:val="24"/>
                <w:szCs w:val="24"/>
              </w:rPr>
            </w:pPr>
            <w:r w:rsidRPr="00305158">
              <w:rPr>
                <w:rFonts w:ascii="Calibri" w:hAnsi="Calibri"/>
                <w:sz w:val="24"/>
                <w:szCs w:val="24"/>
              </w:rPr>
              <w:t>In KS3 171 students have used homework club this year 38 of these students are disadvantaged (22%).  There is an unequal spread between the year groups as this facility is most popular with Year 7</w:t>
            </w:r>
            <w:r>
              <w:rPr>
                <w:rFonts w:ascii="Calibri" w:hAnsi="Calibri"/>
                <w:sz w:val="24"/>
                <w:szCs w:val="24"/>
              </w:rPr>
              <w:t xml:space="preserve"> and least popular with Year 11</w:t>
            </w:r>
            <w:r w:rsidRPr="00305158">
              <w:rPr>
                <w:rFonts w:ascii="Calibri" w:hAnsi="Calibri"/>
                <w:sz w:val="24"/>
                <w:szCs w:val="24"/>
              </w:rPr>
              <w:t>.</w:t>
            </w:r>
            <w:r>
              <w:rPr>
                <w:rFonts w:ascii="Calibri" w:hAnsi="Calibri"/>
                <w:sz w:val="24"/>
                <w:szCs w:val="24"/>
              </w:rPr>
              <w:t xml:space="preserve">  Year 11 were offered an alternative quiet study space this year.</w:t>
            </w:r>
            <w:r>
              <w:rPr>
                <w:rFonts w:ascii="Calibri" w:hAnsi="Calibri"/>
                <w:color w:val="FF0000"/>
                <w:sz w:val="24"/>
                <w:szCs w:val="24"/>
              </w:rPr>
              <w:t xml:space="preserve"> </w:t>
            </w:r>
            <w:r w:rsidRPr="00201E46">
              <w:rPr>
                <w:rFonts w:ascii="Calibri" w:hAnsi="Calibri"/>
                <w:color w:val="FF0000"/>
                <w:sz w:val="24"/>
                <w:szCs w:val="24"/>
              </w:rPr>
              <w:t xml:space="preserve">   </w:t>
            </w:r>
          </w:p>
          <w:p w:rsidR="00A640FA" w:rsidRDefault="00A640FA" w:rsidP="00305158">
            <w:pPr>
              <w:rPr>
                <w:rFonts w:ascii="Calibri" w:hAnsi="Calibri"/>
                <w:sz w:val="24"/>
                <w:szCs w:val="24"/>
              </w:rPr>
            </w:pPr>
            <w:r>
              <w:rPr>
                <w:rFonts w:ascii="Calibri" w:hAnsi="Calibri"/>
                <w:sz w:val="24"/>
                <w:szCs w:val="24"/>
              </w:rPr>
              <w:t>However, t</w:t>
            </w:r>
            <w:r w:rsidRPr="0079650A">
              <w:rPr>
                <w:rFonts w:ascii="Calibri" w:hAnsi="Calibri"/>
                <w:sz w:val="24"/>
                <w:szCs w:val="24"/>
              </w:rPr>
              <w:t xml:space="preserve">here was an increase in the number of KS4 students who used this resource this year. 74 KS4 students have used the Library after-school this year (an increase of 54 students!).  19 KS4 students are disadvantaged (26%). </w:t>
            </w:r>
          </w:p>
          <w:p w:rsidR="00A640FA" w:rsidRPr="00201E46" w:rsidRDefault="00A640FA" w:rsidP="00305158">
            <w:pPr>
              <w:rPr>
                <w:color w:val="FF0000"/>
                <w:sz w:val="24"/>
                <w:szCs w:val="24"/>
              </w:rPr>
            </w:pPr>
          </w:p>
        </w:tc>
        <w:tc>
          <w:tcPr>
            <w:tcW w:w="2747" w:type="dxa"/>
          </w:tcPr>
          <w:p w:rsidR="00A640FA" w:rsidRPr="00201E46" w:rsidRDefault="00A640FA" w:rsidP="00C21AFB">
            <w:pPr>
              <w:rPr>
                <w:rFonts w:ascii="Calibri" w:hAnsi="Calibri"/>
                <w:color w:val="FF0000"/>
              </w:rPr>
            </w:pPr>
          </w:p>
          <w:p w:rsidR="00A640FA" w:rsidRPr="00651E19" w:rsidRDefault="00A640FA" w:rsidP="00C21AFB">
            <w:pPr>
              <w:rPr>
                <w:rFonts w:ascii="Calibri" w:hAnsi="Calibri"/>
              </w:rPr>
            </w:pPr>
            <w:r w:rsidRPr="00651E19">
              <w:rPr>
                <w:rFonts w:ascii="Calibri" w:hAnsi="Calibri"/>
              </w:rPr>
              <w:t>This intervention is valuable for many students at Penair and should be continued next year.</w:t>
            </w:r>
          </w:p>
          <w:p w:rsidR="00A640FA" w:rsidRPr="00201E46" w:rsidRDefault="00A640FA" w:rsidP="00C21AFB">
            <w:pPr>
              <w:rPr>
                <w:rFonts w:ascii="Calibri" w:hAnsi="Calibri"/>
                <w:color w:val="FF0000"/>
              </w:rPr>
            </w:pPr>
          </w:p>
          <w:p w:rsidR="00A640FA" w:rsidRPr="00651E19" w:rsidRDefault="00A640FA" w:rsidP="00C21AFB">
            <w:pPr>
              <w:rPr>
                <w:rFonts w:ascii="Calibri" w:hAnsi="Calibri"/>
              </w:rPr>
            </w:pPr>
            <w:r w:rsidRPr="00651E19">
              <w:rPr>
                <w:rFonts w:ascii="Calibri" w:hAnsi="Calibri"/>
              </w:rPr>
              <w:t>We have improved homework referrals and interventions by using a ‘Back on Track’ system with class Teachers.  The KS3 and KS4 Academic leads continue to provide lunchtime support sessions in the Library.</w:t>
            </w:r>
          </w:p>
          <w:p w:rsidR="00A640FA" w:rsidRPr="00201E46" w:rsidRDefault="00A640FA" w:rsidP="00C21AFB">
            <w:pPr>
              <w:rPr>
                <w:rFonts w:ascii="Calibri" w:hAnsi="Calibri"/>
                <w:color w:val="FF0000"/>
              </w:rPr>
            </w:pPr>
          </w:p>
          <w:p w:rsidR="00A640FA" w:rsidRDefault="00A640FA" w:rsidP="00C21AFB">
            <w:pPr>
              <w:shd w:val="clear" w:color="auto" w:fill="FFFFFF"/>
              <w:rPr>
                <w:color w:val="FF0000"/>
              </w:rPr>
            </w:pPr>
          </w:p>
          <w:p w:rsidR="00A640FA" w:rsidRPr="00201E46" w:rsidRDefault="00A640FA" w:rsidP="00C21AFB">
            <w:pPr>
              <w:shd w:val="clear" w:color="auto" w:fill="FFFFFF"/>
              <w:rPr>
                <w:color w:val="FF0000"/>
              </w:rPr>
            </w:pPr>
          </w:p>
        </w:tc>
      </w:tr>
      <w:tr w:rsidR="00A640FA" w:rsidTr="00D63403">
        <w:trPr>
          <w:trHeight w:val="3516"/>
        </w:trPr>
        <w:tc>
          <w:tcPr>
            <w:tcW w:w="1786" w:type="dxa"/>
            <w:shd w:val="clear" w:color="auto" w:fill="538135" w:themeFill="accent6" w:themeFillShade="BF"/>
            <w:vAlign w:val="center"/>
          </w:tcPr>
          <w:p w:rsidR="00A640FA" w:rsidRDefault="00A640FA" w:rsidP="00E23C8C">
            <w:pPr>
              <w:jc w:val="center"/>
              <w:rPr>
                <w:b/>
                <w:sz w:val="24"/>
                <w:szCs w:val="24"/>
              </w:rPr>
            </w:pPr>
            <w:r>
              <w:rPr>
                <w:b/>
                <w:sz w:val="24"/>
                <w:szCs w:val="24"/>
              </w:rPr>
              <w:t>Supporting cadets in Penair CCF</w:t>
            </w:r>
          </w:p>
        </w:tc>
        <w:tc>
          <w:tcPr>
            <w:tcW w:w="1231" w:type="dxa"/>
          </w:tcPr>
          <w:p w:rsidR="00A640FA" w:rsidRDefault="00A640FA" w:rsidP="00546BB6">
            <w:pPr>
              <w:rPr>
                <w:sz w:val="20"/>
                <w:szCs w:val="20"/>
              </w:rPr>
            </w:pPr>
            <w:r>
              <w:rPr>
                <w:sz w:val="20"/>
                <w:szCs w:val="20"/>
              </w:rPr>
              <w:t>Social deprivation budget £13,500</w:t>
            </w:r>
          </w:p>
        </w:tc>
        <w:tc>
          <w:tcPr>
            <w:tcW w:w="4692" w:type="dxa"/>
          </w:tcPr>
          <w:p w:rsidR="00A640FA" w:rsidRDefault="00A640FA" w:rsidP="00975FE8">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Penair is very proud of the CCF Cadets and their leaders Mrs Emily Cook and Mr Dave Harnett.  This is an inclusive and high achieving group of students from Year 8 to Year 11.  The CCF has always had an above school average representation of disadvantaged students.  The RAF has helped with some funding, but Penair has also provided the money for parade standard boots and Cadet camps. There are currently 59 cadets and 17 (29%) are disadvantaged.</w:t>
            </w:r>
          </w:p>
          <w:p w:rsidR="00A640FA" w:rsidRDefault="00A640FA" w:rsidP="00975FE8">
            <w:pPr>
              <w:pStyle w:val="NormalWeb"/>
              <w:shd w:val="clear" w:color="auto" w:fill="FFFFFF"/>
              <w:spacing w:before="0" w:beforeAutospacing="0" w:after="0" w:afterAutospacing="0"/>
              <w:rPr>
                <w:rFonts w:ascii="Calibri" w:hAnsi="Calibri" w:cs="Calibri"/>
                <w:color w:val="000000"/>
              </w:rPr>
            </w:pPr>
          </w:p>
        </w:tc>
        <w:tc>
          <w:tcPr>
            <w:tcW w:w="2747" w:type="dxa"/>
          </w:tcPr>
          <w:p w:rsidR="00A640FA" w:rsidRDefault="00A640FA" w:rsidP="00975FE8">
            <w:pPr>
              <w:rPr>
                <w:rFonts w:ascii="Calibri" w:hAnsi="Calibri"/>
                <w:color w:val="000000"/>
                <w:shd w:val="clear" w:color="auto" w:fill="FFFFFF"/>
              </w:rPr>
            </w:pPr>
            <w:r>
              <w:rPr>
                <w:rFonts w:ascii="Calibri" w:hAnsi="Calibri"/>
                <w:color w:val="000000"/>
                <w:shd w:val="clear" w:color="auto" w:fill="FFFFFF"/>
              </w:rPr>
              <w:t>Penair CCF is regularly held in high regard as a successful example to other schools.</w:t>
            </w:r>
          </w:p>
          <w:p w:rsidR="00A640FA" w:rsidRDefault="00A640FA" w:rsidP="00975FE8">
            <w:pPr>
              <w:rPr>
                <w:rFonts w:ascii="Calibri" w:hAnsi="Calibri"/>
                <w:color w:val="000000"/>
                <w:shd w:val="clear" w:color="auto" w:fill="FFFFFF"/>
              </w:rPr>
            </w:pPr>
          </w:p>
          <w:p w:rsidR="00A640FA" w:rsidRDefault="00A640FA" w:rsidP="00975FE8">
            <w:pPr>
              <w:rPr>
                <w:rFonts w:ascii="Calibri" w:hAnsi="Calibri"/>
                <w:color w:val="000000"/>
                <w:shd w:val="clear" w:color="auto" w:fill="FFFFFF"/>
              </w:rPr>
            </w:pPr>
            <w:r>
              <w:rPr>
                <w:rFonts w:ascii="Calibri" w:hAnsi="Calibri"/>
                <w:color w:val="000000"/>
                <w:shd w:val="clear" w:color="auto" w:fill="FFFFFF"/>
              </w:rPr>
              <w:t>The cadets value the skills in leadership, teamwork, and flying that they are taught.</w:t>
            </w:r>
          </w:p>
        </w:tc>
      </w:tr>
      <w:tr w:rsidR="00A640FA" w:rsidTr="00367746">
        <w:trPr>
          <w:trHeight w:val="7617"/>
        </w:trPr>
        <w:tc>
          <w:tcPr>
            <w:tcW w:w="1786" w:type="dxa"/>
            <w:shd w:val="clear" w:color="auto" w:fill="538135" w:themeFill="accent6" w:themeFillShade="BF"/>
            <w:vAlign w:val="center"/>
          </w:tcPr>
          <w:p w:rsidR="00A640FA" w:rsidRPr="000322E4" w:rsidRDefault="00A640FA" w:rsidP="00E23C8C">
            <w:pPr>
              <w:jc w:val="center"/>
              <w:rPr>
                <w:b/>
                <w:sz w:val="24"/>
                <w:szCs w:val="24"/>
              </w:rPr>
            </w:pPr>
            <w:r>
              <w:rPr>
                <w:b/>
                <w:sz w:val="24"/>
                <w:szCs w:val="24"/>
              </w:rPr>
              <w:t>Year 7 Literacy catch up (Guided reading and literacy intervention)</w:t>
            </w:r>
          </w:p>
        </w:tc>
        <w:tc>
          <w:tcPr>
            <w:tcW w:w="1231" w:type="dxa"/>
          </w:tcPr>
          <w:p w:rsidR="00A640FA" w:rsidRPr="00BD0C20" w:rsidRDefault="00A640FA" w:rsidP="00546BB6">
            <w:pPr>
              <w:rPr>
                <w:sz w:val="20"/>
                <w:szCs w:val="20"/>
              </w:rPr>
            </w:pPr>
            <w:r>
              <w:rPr>
                <w:sz w:val="20"/>
                <w:szCs w:val="20"/>
              </w:rPr>
              <w:t>HLTA costs + PiXL literacy strategy resources £195</w:t>
            </w:r>
          </w:p>
        </w:tc>
        <w:tc>
          <w:tcPr>
            <w:tcW w:w="4692" w:type="dxa"/>
          </w:tcPr>
          <w:p w:rsidR="00A640FA" w:rsidRDefault="00A640FA" w:rsidP="00975FE8">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The guided </w:t>
            </w:r>
            <w:r>
              <w:rPr>
                <w:rFonts w:ascii="Calibri" w:hAnsi="Calibri" w:cs="Calibri"/>
                <w:color w:val="000000"/>
                <w:bdr w:val="none" w:sz="0" w:space="0" w:color="auto" w:frame="1"/>
              </w:rPr>
              <w:t>reading</w:t>
            </w:r>
            <w:r>
              <w:rPr>
                <w:rFonts w:ascii="Calibri" w:hAnsi="Calibri" w:cs="Calibri"/>
                <w:color w:val="000000"/>
              </w:rPr>
              <w:t> scheme was aimed at 22 Year 7 students whose </w:t>
            </w:r>
            <w:r>
              <w:rPr>
                <w:rFonts w:ascii="Calibri" w:hAnsi="Calibri" w:cs="Calibri"/>
                <w:color w:val="000000"/>
                <w:bdr w:val="none" w:sz="0" w:space="0" w:color="auto" w:frame="1"/>
              </w:rPr>
              <w:t>reading</w:t>
            </w:r>
            <w:r>
              <w:rPr>
                <w:rFonts w:ascii="Calibri" w:hAnsi="Calibri" w:cs="Calibri"/>
                <w:color w:val="000000"/>
              </w:rPr>
              <w:t> ages were a year or more under their actual ages.  We had some 'fall out' since the commencement of the scheme in November; this has in some part been due to parental pressure (some of whom were not happy with the scheme and wanted to work at home with their children on this.)  Some children actively voted with their feet.  However, the scheme shows that with 18 students  there was some success: </w:t>
            </w:r>
          </w:p>
          <w:p w:rsidR="00A640FA" w:rsidRDefault="00A640FA" w:rsidP="00975FE8">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39% of the students improved </w:t>
            </w:r>
            <w:r>
              <w:rPr>
                <w:rFonts w:ascii="Calibri" w:hAnsi="Calibri" w:cs="Calibri"/>
                <w:color w:val="000000"/>
                <w:bdr w:val="none" w:sz="0" w:space="0" w:color="auto" w:frame="1"/>
              </w:rPr>
              <w:t>reading</w:t>
            </w:r>
            <w:r>
              <w:rPr>
                <w:rFonts w:ascii="Calibri" w:hAnsi="Calibri" w:cs="Calibri"/>
                <w:color w:val="000000"/>
              </w:rPr>
              <w:t> ages above actual age</w:t>
            </w:r>
          </w:p>
          <w:p w:rsidR="00A640FA" w:rsidRDefault="00A640FA" w:rsidP="00975FE8">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33% of the students improved </w:t>
            </w:r>
            <w:r>
              <w:rPr>
                <w:rFonts w:ascii="Calibri" w:hAnsi="Calibri" w:cs="Calibri"/>
                <w:color w:val="000000"/>
                <w:bdr w:val="none" w:sz="0" w:space="0" w:color="auto" w:frame="1"/>
              </w:rPr>
              <w:t>reading</w:t>
            </w:r>
            <w:r>
              <w:rPr>
                <w:rFonts w:ascii="Calibri" w:hAnsi="Calibri" w:cs="Calibri"/>
                <w:color w:val="000000"/>
              </w:rPr>
              <w:t> ages since</w:t>
            </w:r>
            <w:r>
              <w:rPr>
                <w:rFonts w:ascii="Calibri" w:hAnsi="Calibri" w:cs="Calibri"/>
                <w:b/>
                <w:bCs/>
                <w:color w:val="000000"/>
              </w:rPr>
              <w:t> the last test</w:t>
            </w:r>
            <w:r>
              <w:rPr>
                <w:rFonts w:ascii="Calibri" w:hAnsi="Calibri" w:cs="Calibri"/>
                <w:color w:val="000000"/>
              </w:rPr>
              <w:t> but are still below actual age</w:t>
            </w:r>
          </w:p>
          <w:p w:rsidR="00A640FA" w:rsidRDefault="00A640FA" w:rsidP="00975FE8">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17% of the students are below previous test age and actual age</w:t>
            </w:r>
          </w:p>
          <w:p w:rsidR="00A640FA" w:rsidRDefault="00A640FA" w:rsidP="00975FE8">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5% stayed the same</w:t>
            </w:r>
          </w:p>
          <w:p w:rsidR="00A640FA" w:rsidRDefault="00A640FA" w:rsidP="00975FE8">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100% of pupil premium students improved by one year or more.</w:t>
            </w:r>
          </w:p>
          <w:p w:rsidR="00A640FA" w:rsidRDefault="00A640FA" w:rsidP="00975FE8">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87.5% boys improved their reading ages by one year or more since November 2018.</w:t>
            </w:r>
          </w:p>
          <w:p w:rsidR="00A640FA" w:rsidRDefault="00A640FA" w:rsidP="00975FE8">
            <w:pPr>
              <w:pStyle w:val="NormalWeb"/>
              <w:shd w:val="clear" w:color="auto" w:fill="FFFFFF"/>
              <w:spacing w:before="0" w:beforeAutospacing="0" w:after="0" w:afterAutospacing="0"/>
              <w:rPr>
                <w:rFonts w:ascii="Calibri" w:hAnsi="Calibri" w:cs="Calibri"/>
                <w:color w:val="000000"/>
              </w:rPr>
            </w:pPr>
          </w:p>
          <w:p w:rsidR="00A640FA" w:rsidRDefault="00A640FA" w:rsidP="00975FE8">
            <w:pPr>
              <w:pStyle w:val="NormalWeb"/>
              <w:shd w:val="clear" w:color="auto" w:fill="FFFFFF"/>
              <w:spacing w:before="0" w:beforeAutospacing="0" w:after="0" w:afterAutospacing="0"/>
              <w:rPr>
                <w:rFonts w:ascii="Calibri" w:hAnsi="Calibri" w:cs="Calibri"/>
                <w:color w:val="000000"/>
              </w:rPr>
            </w:pPr>
          </w:p>
          <w:p w:rsidR="00A640FA" w:rsidRPr="00FC255F" w:rsidRDefault="00A640FA" w:rsidP="004D6EF6">
            <w:pPr>
              <w:rPr>
                <w:rFonts w:ascii="Calibri" w:hAnsi="Calibri"/>
                <w:sz w:val="24"/>
                <w:szCs w:val="24"/>
              </w:rPr>
            </w:pPr>
          </w:p>
        </w:tc>
        <w:tc>
          <w:tcPr>
            <w:tcW w:w="2747" w:type="dxa"/>
          </w:tcPr>
          <w:p w:rsidR="00A640FA" w:rsidRPr="00FC255F" w:rsidRDefault="00A640FA" w:rsidP="00975FE8">
            <w:pPr>
              <w:rPr>
                <w:rFonts w:ascii="Calibri" w:hAnsi="Calibri"/>
              </w:rPr>
            </w:pPr>
            <w:r>
              <w:rPr>
                <w:rFonts w:ascii="Calibri" w:hAnsi="Calibri"/>
                <w:color w:val="000000"/>
                <w:shd w:val="clear" w:color="auto" w:fill="FFFFFF"/>
              </w:rPr>
              <w:t>Targeting specific students using a range of different delivery methods</w:t>
            </w:r>
            <w:r w:rsidRPr="00FC255F">
              <w:rPr>
                <w:rFonts w:ascii="Calibri" w:hAnsi="Calibri"/>
                <w:color w:val="000000"/>
                <w:shd w:val="clear" w:color="auto" w:fill="FFFFFF"/>
              </w:rPr>
              <w:t xml:space="preserve"> has had a huge impact on the confidence of all the students.</w:t>
            </w:r>
            <w:r>
              <w:rPr>
                <w:rFonts w:ascii="Calibri" w:hAnsi="Calibri"/>
                <w:color w:val="000000"/>
                <w:shd w:val="clear" w:color="auto" w:fill="FFFFFF"/>
              </w:rPr>
              <w:t xml:space="preserve"> Literacy support is offered through paired-reading sessions with older students, small group literacy lessons and 1:1 literacy support.  Progress has been</w:t>
            </w:r>
            <w:r w:rsidRPr="00FC255F">
              <w:rPr>
                <w:rFonts w:ascii="Calibri" w:hAnsi="Calibri"/>
                <w:color w:val="000000"/>
                <w:shd w:val="clear" w:color="auto" w:fill="FFFFFF"/>
              </w:rPr>
              <w:t xml:space="preserve"> made as shown in the test scores.</w:t>
            </w:r>
          </w:p>
        </w:tc>
      </w:tr>
      <w:tr w:rsidR="00A640FA" w:rsidTr="002C6B33">
        <w:trPr>
          <w:trHeight w:val="3809"/>
        </w:trPr>
        <w:tc>
          <w:tcPr>
            <w:tcW w:w="1786" w:type="dxa"/>
            <w:shd w:val="clear" w:color="auto" w:fill="538135" w:themeFill="accent6" w:themeFillShade="BF"/>
            <w:vAlign w:val="center"/>
          </w:tcPr>
          <w:p w:rsidR="00A640FA" w:rsidRPr="000322E4" w:rsidRDefault="00A640FA" w:rsidP="00E23C8C">
            <w:pPr>
              <w:jc w:val="center"/>
              <w:rPr>
                <w:b/>
                <w:sz w:val="24"/>
                <w:szCs w:val="24"/>
              </w:rPr>
            </w:pPr>
            <w:r>
              <w:rPr>
                <w:b/>
                <w:sz w:val="24"/>
                <w:szCs w:val="24"/>
              </w:rPr>
              <w:t>Young College</w:t>
            </w:r>
          </w:p>
        </w:tc>
        <w:tc>
          <w:tcPr>
            <w:tcW w:w="1231" w:type="dxa"/>
          </w:tcPr>
          <w:p w:rsidR="00A640FA" w:rsidRPr="00BD0C20" w:rsidRDefault="00A640FA" w:rsidP="00546BB6">
            <w:pPr>
              <w:rPr>
                <w:sz w:val="20"/>
                <w:szCs w:val="20"/>
              </w:rPr>
            </w:pPr>
            <w:r>
              <w:rPr>
                <w:sz w:val="20"/>
                <w:szCs w:val="20"/>
              </w:rPr>
              <w:t>£6,300 + TA &amp; transport costs</w:t>
            </w:r>
          </w:p>
        </w:tc>
        <w:tc>
          <w:tcPr>
            <w:tcW w:w="4692" w:type="dxa"/>
          </w:tcPr>
          <w:p w:rsidR="00A640FA" w:rsidRDefault="00A640FA" w:rsidP="001A41E0">
            <w:pPr>
              <w:rPr>
                <w:rFonts w:ascii="Calibri" w:hAnsi="Calibri"/>
                <w:sz w:val="24"/>
                <w:szCs w:val="24"/>
              </w:rPr>
            </w:pPr>
            <w:r w:rsidRPr="00651E19">
              <w:rPr>
                <w:rFonts w:ascii="Calibri" w:hAnsi="Calibri"/>
                <w:sz w:val="24"/>
                <w:szCs w:val="24"/>
              </w:rPr>
              <w:t>In Year 11</w:t>
            </w:r>
            <w:r>
              <w:rPr>
                <w:rFonts w:ascii="Calibri" w:hAnsi="Calibri"/>
                <w:sz w:val="24"/>
                <w:szCs w:val="24"/>
              </w:rPr>
              <w:t>,</w:t>
            </w:r>
            <w:r w:rsidRPr="00651E19">
              <w:rPr>
                <w:rFonts w:ascii="Calibri" w:hAnsi="Calibri"/>
                <w:sz w:val="24"/>
                <w:szCs w:val="24"/>
              </w:rPr>
              <w:t xml:space="preserve"> 7 disadvantaged students attend Young College (this is 41% of the Young College cohort). </w:t>
            </w:r>
            <w:r>
              <w:rPr>
                <w:rFonts w:ascii="Calibri" w:hAnsi="Calibri"/>
                <w:sz w:val="24"/>
                <w:szCs w:val="24"/>
              </w:rPr>
              <w:t xml:space="preserve"> 5 out of the 7 students completed their Level 2 courses and all are on schedule to pass.  The courses studied include, Health and Social care, child development, Motor vehicles and construction.</w:t>
            </w:r>
          </w:p>
          <w:p w:rsidR="00A640FA" w:rsidRPr="00201E46" w:rsidRDefault="00A640FA" w:rsidP="001A41E0">
            <w:pPr>
              <w:rPr>
                <w:rFonts w:ascii="Calibri" w:hAnsi="Calibri"/>
                <w:color w:val="FF0000"/>
                <w:sz w:val="24"/>
                <w:szCs w:val="24"/>
              </w:rPr>
            </w:pPr>
            <w:r>
              <w:rPr>
                <w:rFonts w:ascii="Calibri" w:hAnsi="Calibri"/>
                <w:sz w:val="24"/>
                <w:szCs w:val="24"/>
              </w:rPr>
              <w:t>Specific IAG support has been provided by Mrs L Sherwood to ensure a smooth transition onto appropriate college courses (including some apprenticeships) for this cohort of students.</w:t>
            </w:r>
          </w:p>
        </w:tc>
        <w:tc>
          <w:tcPr>
            <w:tcW w:w="2747" w:type="dxa"/>
          </w:tcPr>
          <w:p w:rsidR="00A640FA" w:rsidRPr="00201E46" w:rsidRDefault="00A640FA" w:rsidP="00546BB6">
            <w:pPr>
              <w:rPr>
                <w:rFonts w:ascii="Calibri" w:hAnsi="Calibri"/>
                <w:color w:val="FF0000"/>
              </w:rPr>
            </w:pPr>
            <w:r w:rsidRPr="00651E19">
              <w:rPr>
                <w:rFonts w:ascii="Calibri" w:hAnsi="Calibri"/>
              </w:rPr>
              <w:t>This is the last cohort of students to attend Truro College, as this has not been offered as part of the Year 10 curriculum for the past 2 years.</w:t>
            </w:r>
          </w:p>
        </w:tc>
      </w:tr>
      <w:tr w:rsidR="00A640FA" w:rsidTr="006F594B">
        <w:trPr>
          <w:trHeight w:val="2344"/>
        </w:trPr>
        <w:tc>
          <w:tcPr>
            <w:tcW w:w="1786" w:type="dxa"/>
            <w:shd w:val="clear" w:color="auto" w:fill="A8D08D" w:themeFill="accent6" w:themeFillTint="99"/>
            <w:vAlign w:val="center"/>
          </w:tcPr>
          <w:p w:rsidR="00A640FA" w:rsidRPr="000322E4" w:rsidRDefault="00A640FA" w:rsidP="00E23C8C">
            <w:pPr>
              <w:jc w:val="center"/>
              <w:rPr>
                <w:b/>
                <w:sz w:val="24"/>
                <w:szCs w:val="24"/>
              </w:rPr>
            </w:pPr>
            <w:r>
              <w:rPr>
                <w:b/>
                <w:sz w:val="24"/>
                <w:szCs w:val="24"/>
              </w:rPr>
              <w:t>Big Breakfast</w:t>
            </w:r>
          </w:p>
        </w:tc>
        <w:tc>
          <w:tcPr>
            <w:tcW w:w="1231" w:type="dxa"/>
          </w:tcPr>
          <w:p w:rsidR="00A640FA" w:rsidRDefault="00A640FA" w:rsidP="00546BB6">
            <w:pPr>
              <w:rPr>
                <w:sz w:val="20"/>
                <w:szCs w:val="20"/>
              </w:rPr>
            </w:pPr>
            <w:r>
              <w:rPr>
                <w:sz w:val="20"/>
                <w:szCs w:val="20"/>
              </w:rPr>
              <w:t>Hospitality costs for Big Breakfast and Homework club =</w:t>
            </w:r>
          </w:p>
          <w:p w:rsidR="00A640FA" w:rsidRDefault="00A640FA" w:rsidP="00546BB6">
            <w:pPr>
              <w:rPr>
                <w:sz w:val="20"/>
                <w:szCs w:val="20"/>
              </w:rPr>
            </w:pPr>
            <w:r>
              <w:rPr>
                <w:sz w:val="20"/>
                <w:szCs w:val="20"/>
              </w:rPr>
              <w:t>£3,877.43</w:t>
            </w:r>
          </w:p>
        </w:tc>
        <w:tc>
          <w:tcPr>
            <w:tcW w:w="4692" w:type="dxa"/>
          </w:tcPr>
          <w:p w:rsidR="00A640FA" w:rsidRDefault="00A640FA" w:rsidP="00D13D61">
            <w:pPr>
              <w:pStyle w:val="NormalWeb"/>
              <w:shd w:val="clear" w:color="auto" w:fill="FFFFFF"/>
              <w:spacing w:before="0" w:beforeAutospacing="0" w:after="0" w:afterAutospacing="0"/>
              <w:rPr>
                <w:rFonts w:ascii="Calibri" w:hAnsi="Calibri"/>
              </w:rPr>
            </w:pPr>
            <w:r w:rsidRPr="0079650A">
              <w:rPr>
                <w:rFonts w:ascii="Calibri" w:hAnsi="Calibri"/>
              </w:rPr>
              <w:t>Approximately 40 students regularly attend big Breakfast</w:t>
            </w:r>
            <w:r>
              <w:rPr>
                <w:rFonts w:ascii="Calibri" w:hAnsi="Calibri"/>
              </w:rPr>
              <w:t xml:space="preserve"> every day.  Free Breakfast is offered to any student who requires it from Monday to Friday. Over 50% of the regular attendees are disadvantaged and they enjoy their breakfast in a calm and supervised environment. </w:t>
            </w:r>
          </w:p>
          <w:p w:rsidR="00A640FA" w:rsidRPr="0079650A" w:rsidRDefault="00A640FA" w:rsidP="00D13D61">
            <w:pPr>
              <w:pStyle w:val="NormalWeb"/>
              <w:shd w:val="clear" w:color="auto" w:fill="FFFFFF"/>
              <w:spacing w:before="0" w:beforeAutospacing="0" w:after="0" w:afterAutospacing="0"/>
              <w:rPr>
                <w:rFonts w:ascii="Calibri" w:hAnsi="Calibri"/>
                <w:color w:val="FF0000"/>
              </w:rPr>
            </w:pPr>
          </w:p>
        </w:tc>
        <w:tc>
          <w:tcPr>
            <w:tcW w:w="2747" w:type="dxa"/>
          </w:tcPr>
          <w:p w:rsidR="00A640FA" w:rsidRPr="00857061" w:rsidRDefault="00A640FA" w:rsidP="00D13D61">
            <w:pPr>
              <w:shd w:val="clear" w:color="auto" w:fill="FFFFFF"/>
              <w:rPr>
                <w:color w:val="FF0000"/>
              </w:rPr>
            </w:pPr>
            <w:r w:rsidRPr="00857061">
              <w:t xml:space="preserve">There is no specific data to </w:t>
            </w:r>
            <w:r>
              <w:t>quantify the impact of this intervention, but students appreciate the facility and would miss the opportunity to have a good breakfast if it was removed.</w:t>
            </w:r>
          </w:p>
        </w:tc>
      </w:tr>
      <w:tr w:rsidR="00A640FA" w:rsidTr="00DB6372">
        <w:trPr>
          <w:trHeight w:val="7617"/>
        </w:trPr>
        <w:tc>
          <w:tcPr>
            <w:tcW w:w="1786" w:type="dxa"/>
            <w:shd w:val="clear" w:color="auto" w:fill="A8D08D" w:themeFill="accent6" w:themeFillTint="99"/>
            <w:vAlign w:val="center"/>
          </w:tcPr>
          <w:p w:rsidR="00A640FA" w:rsidRPr="000322E4" w:rsidRDefault="00A640FA" w:rsidP="00E23C8C">
            <w:pPr>
              <w:jc w:val="center"/>
              <w:rPr>
                <w:b/>
                <w:sz w:val="24"/>
                <w:szCs w:val="24"/>
              </w:rPr>
            </w:pPr>
            <w:r w:rsidRPr="000322E4">
              <w:rPr>
                <w:b/>
                <w:sz w:val="24"/>
                <w:szCs w:val="24"/>
              </w:rPr>
              <w:t>Specific funding requests from departments</w:t>
            </w:r>
          </w:p>
        </w:tc>
        <w:tc>
          <w:tcPr>
            <w:tcW w:w="1231" w:type="dxa"/>
          </w:tcPr>
          <w:p w:rsidR="00A640FA" w:rsidRPr="00BD0C20" w:rsidRDefault="00A640FA" w:rsidP="00546BB6">
            <w:pPr>
              <w:rPr>
                <w:sz w:val="20"/>
                <w:szCs w:val="20"/>
              </w:rPr>
            </w:pPr>
            <w:r>
              <w:rPr>
                <w:sz w:val="20"/>
                <w:szCs w:val="20"/>
              </w:rPr>
              <w:t>£5,815</w:t>
            </w:r>
          </w:p>
        </w:tc>
        <w:tc>
          <w:tcPr>
            <w:tcW w:w="4692" w:type="dxa"/>
          </w:tcPr>
          <w:p w:rsidR="00A640FA" w:rsidRPr="00201E46" w:rsidRDefault="00A640FA" w:rsidP="00D13D61">
            <w:pPr>
              <w:pStyle w:val="NormalWeb"/>
              <w:shd w:val="clear" w:color="auto" w:fill="FFFFFF"/>
              <w:spacing w:before="0" w:beforeAutospacing="0" w:after="0" w:afterAutospacing="0"/>
              <w:rPr>
                <w:rFonts w:ascii="Calibri" w:hAnsi="Calibri"/>
                <w:color w:val="FF0000"/>
              </w:rPr>
            </w:pPr>
            <w:r w:rsidRPr="00567215">
              <w:rPr>
                <w:rFonts w:ascii="Calibri" w:hAnsi="Calibri"/>
                <w:b/>
              </w:rPr>
              <w:t>Art</w:t>
            </w:r>
            <w:r w:rsidRPr="00567215">
              <w:rPr>
                <w:rFonts w:ascii="Calibri" w:hAnsi="Calibri"/>
              </w:rPr>
              <w:t xml:space="preserve">- £1,121 has been spent on Art materials to </w:t>
            </w:r>
            <w:r>
              <w:rPr>
                <w:rFonts w:ascii="Calibri" w:hAnsi="Calibri"/>
              </w:rPr>
              <w:t xml:space="preserve">close the gap and </w:t>
            </w:r>
            <w:r w:rsidRPr="00567215">
              <w:rPr>
                <w:rFonts w:ascii="Calibri" w:hAnsi="Calibri"/>
              </w:rPr>
              <w:t xml:space="preserve">support disadvantaged learners in KS4 (GCSE Art &amp; Graphics). </w:t>
            </w:r>
            <w:r w:rsidRPr="002F7F1B">
              <w:rPr>
                <w:rFonts w:ascii="Calibri" w:hAnsi="Calibri"/>
              </w:rPr>
              <w:t>The</w:t>
            </w:r>
            <w:r w:rsidRPr="00201E46">
              <w:rPr>
                <w:rFonts w:ascii="Calibri" w:hAnsi="Calibri"/>
                <w:color w:val="FF0000"/>
              </w:rPr>
              <w:t xml:space="preserve"> </w:t>
            </w:r>
            <w:r w:rsidRPr="002A21C5">
              <w:rPr>
                <w:rFonts w:ascii="Calibri" w:hAnsi="Calibri"/>
              </w:rPr>
              <w:t>number of disadvantaged students on or above target is 33% for Art and 50% for Graphics with 20% and 6% gaps to all students respectively. However, the gap between PP and all students has narrowed at the Grade 4 and 5 measures. Art reports a 1% gap at Grade 4 and Graphics predict a 5% gap at Grade 5.</w:t>
            </w:r>
          </w:p>
          <w:p w:rsidR="00A640FA" w:rsidRPr="00092F38" w:rsidRDefault="00A640FA" w:rsidP="00D13D61">
            <w:pPr>
              <w:rPr>
                <w:rFonts w:ascii="Calibri" w:hAnsi="Calibri"/>
                <w:sz w:val="24"/>
                <w:szCs w:val="24"/>
              </w:rPr>
            </w:pPr>
            <w:r w:rsidRPr="00A46B33">
              <w:rPr>
                <w:b/>
                <w:sz w:val="24"/>
                <w:szCs w:val="24"/>
              </w:rPr>
              <w:t>DT</w:t>
            </w:r>
            <w:r w:rsidRPr="00A46B33">
              <w:rPr>
                <w:sz w:val="24"/>
                <w:szCs w:val="24"/>
              </w:rPr>
              <w:t xml:space="preserve"> - £1,477.44 has been spent on DT material</w:t>
            </w:r>
            <w:r>
              <w:rPr>
                <w:sz w:val="24"/>
                <w:szCs w:val="24"/>
              </w:rPr>
              <w:t>s (mostly food ingredients</w:t>
            </w:r>
            <w:r w:rsidRPr="00A46B33">
              <w:rPr>
                <w:sz w:val="24"/>
                <w:szCs w:val="24"/>
              </w:rPr>
              <w:t xml:space="preserve">) to support disadvantaged learners </w:t>
            </w:r>
            <w:r w:rsidRPr="00A46B33">
              <w:rPr>
                <w:sz w:val="24"/>
                <w:szCs w:val="24"/>
                <w:u w:val="single"/>
              </w:rPr>
              <w:t>across all years</w:t>
            </w:r>
            <w:r w:rsidRPr="00A46B33">
              <w:rPr>
                <w:sz w:val="24"/>
                <w:szCs w:val="24"/>
              </w:rPr>
              <w:t>.</w:t>
            </w:r>
            <w:r w:rsidRPr="00201E46">
              <w:rPr>
                <w:color w:val="FF0000"/>
                <w:sz w:val="24"/>
                <w:szCs w:val="24"/>
              </w:rPr>
              <w:t xml:space="preserve"> </w:t>
            </w:r>
            <w:r w:rsidRPr="00092F38">
              <w:rPr>
                <w:sz w:val="24"/>
                <w:szCs w:val="24"/>
              </w:rPr>
              <w:t>Almost a third of the DT Food students in Year 10 are disadvantaged and there are currently working at 53% of them predicted to achieve a standard pass at grade 4.  There is a gap of 20% to all students, but it is thought that this would be far greater without the provision of ingredients.</w:t>
            </w:r>
          </w:p>
          <w:p w:rsidR="00A640FA" w:rsidRPr="00201E46" w:rsidRDefault="00A640FA" w:rsidP="00D13D61">
            <w:pPr>
              <w:rPr>
                <w:rFonts w:ascii="Calibri" w:hAnsi="Calibri"/>
                <w:color w:val="FF0000"/>
                <w:sz w:val="24"/>
                <w:szCs w:val="24"/>
              </w:rPr>
            </w:pPr>
          </w:p>
          <w:p w:rsidR="00A640FA" w:rsidRPr="00092F38" w:rsidRDefault="00A640FA" w:rsidP="00D13D61">
            <w:pPr>
              <w:rPr>
                <w:sz w:val="24"/>
                <w:szCs w:val="24"/>
              </w:rPr>
            </w:pPr>
            <w:r w:rsidRPr="00092F38">
              <w:rPr>
                <w:rFonts w:ascii="Calibri" w:hAnsi="Calibri"/>
                <w:sz w:val="24"/>
                <w:szCs w:val="24"/>
              </w:rPr>
              <w:t>In KS3, The school average gap is 12.5%.</w:t>
            </w:r>
          </w:p>
          <w:p w:rsidR="00A640FA" w:rsidRPr="00201E46" w:rsidRDefault="00A640FA" w:rsidP="00D13D61">
            <w:pPr>
              <w:rPr>
                <w:rFonts w:ascii="Calibri" w:hAnsi="Calibri"/>
                <w:color w:val="FF0000"/>
                <w:sz w:val="24"/>
                <w:szCs w:val="24"/>
              </w:rPr>
            </w:pPr>
            <w:r w:rsidRPr="00092F38">
              <w:rPr>
                <w:b/>
                <w:sz w:val="24"/>
                <w:szCs w:val="24"/>
              </w:rPr>
              <w:t>Art, and DT</w:t>
            </w:r>
            <w:r w:rsidRPr="00092F38">
              <w:rPr>
                <w:sz w:val="24"/>
                <w:szCs w:val="24"/>
              </w:rPr>
              <w:t>, are both reporting below average progress gaps in KS3 of 6% and 8.2% respectively.</w:t>
            </w:r>
          </w:p>
        </w:tc>
        <w:tc>
          <w:tcPr>
            <w:tcW w:w="2747" w:type="dxa"/>
          </w:tcPr>
          <w:p w:rsidR="00A640FA" w:rsidRPr="00A46B33" w:rsidRDefault="00A640FA" w:rsidP="00D13D61">
            <w:pPr>
              <w:shd w:val="clear" w:color="auto" w:fill="FFFFFF"/>
              <w:rPr>
                <w:rFonts w:ascii="Calibri" w:eastAsia="Times New Roman" w:hAnsi="Calibri" w:cs="Times New Roman"/>
                <w:i/>
                <w:lang w:eastAsia="en-GB"/>
              </w:rPr>
            </w:pPr>
            <w:r w:rsidRPr="00A46B33">
              <w:rPr>
                <w:b/>
              </w:rPr>
              <w:t>Art</w:t>
            </w:r>
            <w:r w:rsidRPr="00A46B33">
              <w:t xml:space="preserve"> – </w:t>
            </w:r>
            <w:r w:rsidRPr="00A46B33">
              <w:rPr>
                <w:i/>
              </w:rPr>
              <w:t>“</w:t>
            </w:r>
            <w:r w:rsidRPr="00A46B33">
              <w:rPr>
                <w:rFonts w:ascii="Calibri" w:eastAsia="Times New Roman" w:hAnsi="Calibri" w:cs="Times New Roman"/>
                <w:i/>
                <w:lang w:eastAsia="en-GB"/>
              </w:rPr>
              <w:t xml:space="preserve">The equipment is useful, as without it PP students are immediately disadvantaged, it can also be motivational as students enjoy experimenting with different materials.” </w:t>
            </w:r>
          </w:p>
          <w:p w:rsidR="00A640FA" w:rsidRPr="00A46B33" w:rsidRDefault="00A640FA" w:rsidP="00D13D61">
            <w:pPr>
              <w:shd w:val="clear" w:color="auto" w:fill="FFFFFF"/>
              <w:rPr>
                <w:rFonts w:ascii="Calibri" w:eastAsia="Times New Roman" w:hAnsi="Calibri" w:cs="Times New Roman"/>
                <w:i/>
                <w:lang w:eastAsia="en-GB"/>
              </w:rPr>
            </w:pPr>
          </w:p>
          <w:p w:rsidR="00A640FA" w:rsidRPr="00201E46" w:rsidRDefault="00A640FA" w:rsidP="00D13D61">
            <w:pPr>
              <w:rPr>
                <w:rFonts w:ascii="Calibri" w:hAnsi="Calibri"/>
                <w:color w:val="FF0000"/>
              </w:rPr>
            </w:pPr>
            <w:r w:rsidRPr="00567215">
              <w:rPr>
                <w:rFonts w:ascii="Calibri" w:hAnsi="Calibri"/>
                <w:b/>
                <w:shd w:val="clear" w:color="auto" w:fill="FFFFFF"/>
              </w:rPr>
              <w:t>DT</w:t>
            </w:r>
            <w:r w:rsidRPr="00A46B33">
              <w:rPr>
                <w:rFonts w:ascii="Calibri" w:hAnsi="Calibri"/>
                <w:shd w:val="clear" w:color="auto" w:fill="FFFFFF"/>
              </w:rPr>
              <w:t xml:space="preserve"> – </w:t>
            </w:r>
            <w:r w:rsidRPr="00567215">
              <w:rPr>
                <w:rFonts w:ascii="Calibri" w:hAnsi="Calibri"/>
                <w:i/>
                <w:shd w:val="clear" w:color="auto" w:fill="FFFFFF"/>
              </w:rPr>
              <w:t>“Providing ingredients is essential for participation and full inclusion within the lessons.”</w:t>
            </w:r>
          </w:p>
        </w:tc>
      </w:tr>
      <w:tr w:rsidR="00A640FA" w:rsidTr="00AB7F2C">
        <w:trPr>
          <w:trHeight w:val="3809"/>
        </w:trPr>
        <w:tc>
          <w:tcPr>
            <w:tcW w:w="1786" w:type="dxa"/>
            <w:shd w:val="clear" w:color="auto" w:fill="C5E0B3" w:themeFill="accent6" w:themeFillTint="66"/>
            <w:vAlign w:val="center"/>
          </w:tcPr>
          <w:p w:rsidR="00A640FA" w:rsidRPr="000322E4" w:rsidRDefault="00A640FA" w:rsidP="00E23C8C">
            <w:pPr>
              <w:jc w:val="center"/>
              <w:rPr>
                <w:b/>
                <w:sz w:val="24"/>
                <w:szCs w:val="24"/>
              </w:rPr>
            </w:pPr>
            <w:r>
              <w:rPr>
                <w:b/>
                <w:sz w:val="24"/>
                <w:szCs w:val="24"/>
              </w:rPr>
              <w:t>Education off site provision</w:t>
            </w:r>
          </w:p>
        </w:tc>
        <w:tc>
          <w:tcPr>
            <w:tcW w:w="1231" w:type="dxa"/>
          </w:tcPr>
          <w:p w:rsidR="00A640FA" w:rsidRPr="00BD0C20" w:rsidRDefault="00A640FA" w:rsidP="00546BB6">
            <w:pPr>
              <w:rPr>
                <w:sz w:val="20"/>
                <w:szCs w:val="20"/>
              </w:rPr>
            </w:pPr>
            <w:r>
              <w:rPr>
                <w:sz w:val="20"/>
                <w:szCs w:val="20"/>
              </w:rPr>
              <w:t>£12,162</w:t>
            </w:r>
          </w:p>
        </w:tc>
        <w:tc>
          <w:tcPr>
            <w:tcW w:w="4692" w:type="dxa"/>
          </w:tcPr>
          <w:p w:rsidR="00A640FA" w:rsidRPr="000E71A4" w:rsidRDefault="00A640FA" w:rsidP="00020238">
            <w:pPr>
              <w:rPr>
                <w:rFonts w:ascii="Calibri" w:hAnsi="Calibri"/>
                <w:sz w:val="24"/>
                <w:szCs w:val="24"/>
              </w:rPr>
            </w:pPr>
            <w:r w:rsidRPr="000E71A4">
              <w:rPr>
                <w:rFonts w:ascii="Calibri" w:hAnsi="Calibri"/>
                <w:sz w:val="24"/>
                <w:szCs w:val="24"/>
              </w:rPr>
              <w:t xml:space="preserve">We have </w:t>
            </w:r>
            <w:r>
              <w:rPr>
                <w:rFonts w:ascii="Calibri" w:hAnsi="Calibri"/>
                <w:sz w:val="24"/>
                <w:szCs w:val="24"/>
              </w:rPr>
              <w:t>arranged or been allocated</w:t>
            </w:r>
            <w:r w:rsidRPr="000E71A4">
              <w:rPr>
                <w:rFonts w:ascii="Calibri" w:hAnsi="Calibri"/>
                <w:sz w:val="24"/>
                <w:szCs w:val="24"/>
              </w:rPr>
              <w:t xml:space="preserve"> Off-site provision for 9 students in 2018-19 and 7 of these students are disadvantaged.</w:t>
            </w:r>
            <w:r>
              <w:rPr>
                <w:rFonts w:ascii="Calibri" w:hAnsi="Calibri"/>
                <w:sz w:val="24"/>
                <w:szCs w:val="24"/>
              </w:rPr>
              <w:t xml:space="preserve">  We arrange alternative education provision for students who either may be at risk of exclusion or for those who are medically unable to access full-time education.  We ensure that all students have access to education provision suitable to their needs. We have used The Wave (Carrick APA), Pen Dynas, BF Adventure, CHES, Savvy and the Hayle Youth Project.</w:t>
            </w:r>
          </w:p>
          <w:p w:rsidR="00A640FA" w:rsidRPr="00201E46" w:rsidRDefault="00A640FA" w:rsidP="00020238">
            <w:pPr>
              <w:rPr>
                <w:rFonts w:ascii="Calibri" w:hAnsi="Calibri"/>
                <w:color w:val="FF0000"/>
                <w:sz w:val="24"/>
                <w:szCs w:val="24"/>
              </w:rPr>
            </w:pPr>
          </w:p>
        </w:tc>
        <w:tc>
          <w:tcPr>
            <w:tcW w:w="2747" w:type="dxa"/>
          </w:tcPr>
          <w:p w:rsidR="00A640FA" w:rsidRPr="00201E46" w:rsidRDefault="00A640FA" w:rsidP="00546BB6">
            <w:pPr>
              <w:rPr>
                <w:rFonts w:ascii="Calibri" w:hAnsi="Calibri"/>
                <w:color w:val="FF0000"/>
              </w:rPr>
            </w:pPr>
            <w:r w:rsidRPr="0063368B">
              <w:rPr>
                <w:rFonts w:ascii="Calibri" w:hAnsi="Calibri"/>
              </w:rPr>
              <w:t>Continual close liaison with our Multi-agency partners is required to ensure students are successfully accessing their alternative provision. We hold termly multi-agency meetings at Penair to discuss our students of concern.</w:t>
            </w:r>
          </w:p>
        </w:tc>
      </w:tr>
      <w:tr w:rsidR="00A640FA" w:rsidTr="00CE025B">
        <w:trPr>
          <w:trHeight w:val="7910"/>
        </w:trPr>
        <w:tc>
          <w:tcPr>
            <w:tcW w:w="1786" w:type="dxa"/>
            <w:shd w:val="clear" w:color="auto" w:fill="C5E0B3" w:themeFill="accent6" w:themeFillTint="66"/>
            <w:vAlign w:val="center"/>
          </w:tcPr>
          <w:p w:rsidR="00A640FA" w:rsidRPr="000322E4" w:rsidRDefault="00A640FA" w:rsidP="00E23C8C">
            <w:pPr>
              <w:jc w:val="center"/>
              <w:rPr>
                <w:b/>
                <w:sz w:val="24"/>
                <w:szCs w:val="24"/>
              </w:rPr>
            </w:pPr>
            <w:r>
              <w:rPr>
                <w:b/>
                <w:sz w:val="24"/>
                <w:szCs w:val="24"/>
              </w:rPr>
              <w:t>Maths intervention</w:t>
            </w:r>
          </w:p>
        </w:tc>
        <w:tc>
          <w:tcPr>
            <w:tcW w:w="1231" w:type="dxa"/>
          </w:tcPr>
          <w:p w:rsidR="00A640FA" w:rsidRPr="00BD0C20" w:rsidRDefault="00A640FA" w:rsidP="00546BB6">
            <w:pPr>
              <w:rPr>
                <w:sz w:val="20"/>
                <w:szCs w:val="20"/>
              </w:rPr>
            </w:pPr>
            <w:r>
              <w:rPr>
                <w:sz w:val="20"/>
                <w:szCs w:val="20"/>
              </w:rPr>
              <w:t>£2200</w:t>
            </w:r>
          </w:p>
        </w:tc>
        <w:tc>
          <w:tcPr>
            <w:tcW w:w="4692" w:type="dxa"/>
          </w:tcPr>
          <w:p w:rsidR="00A640FA" w:rsidRDefault="00A640FA" w:rsidP="00096DEF">
            <w:pPr>
              <w:rPr>
                <w:rFonts w:ascii="Calibri" w:hAnsi="Calibri"/>
                <w:sz w:val="24"/>
                <w:szCs w:val="24"/>
              </w:rPr>
            </w:pPr>
            <w:r w:rsidRPr="001B6A90">
              <w:rPr>
                <w:rFonts w:ascii="Calibri" w:hAnsi="Calibri"/>
                <w:sz w:val="24"/>
                <w:szCs w:val="24"/>
              </w:rPr>
              <w:t>19 disadvantaged and or under-achieving students were provided with additional Maths tuition this year from an external Maths Tutor this year. 19 students were Year 11 and there was one each from years 7,9 and 10.  63% of the Year 11 students improved upon their predicted grades after working with Margie Mascolino this year.  Mrs Mascolino’s tutoring approach is warm, positive and encouraging and she is highly respected by the students she works with.</w:t>
            </w:r>
          </w:p>
          <w:p w:rsidR="00A640FA" w:rsidRPr="001B6A90" w:rsidRDefault="00A640FA" w:rsidP="00096DEF">
            <w:pPr>
              <w:rPr>
                <w:rFonts w:ascii="Calibri" w:hAnsi="Calibri"/>
                <w:sz w:val="24"/>
                <w:szCs w:val="24"/>
              </w:rPr>
            </w:pPr>
          </w:p>
          <w:p w:rsidR="00A640FA" w:rsidRDefault="00A640FA" w:rsidP="00BD24DA">
            <w:pPr>
              <w:pStyle w:val="NormalWeb"/>
              <w:shd w:val="clear" w:color="auto" w:fill="FFFFFF"/>
              <w:spacing w:before="0" w:beforeAutospacing="0" w:after="0" w:afterAutospacing="0"/>
              <w:rPr>
                <w:rFonts w:ascii="Calibri" w:hAnsi="Calibri" w:cs="Calibri"/>
                <w:color w:val="000000"/>
              </w:rPr>
            </w:pPr>
            <w:r>
              <w:rPr>
                <w:rFonts w:ascii="Calibri" w:hAnsi="Calibri"/>
              </w:rPr>
              <w:t>The Maths faculty also began the year by placing disadvantaged students in a set above in order to try and raise aspiration and achievement.</w:t>
            </w:r>
            <w:r>
              <w:rPr>
                <w:rFonts w:ascii="Calibri" w:hAnsi="Calibri" w:cs="Calibri"/>
                <w:color w:val="000000"/>
              </w:rPr>
              <w:t xml:space="preserve">  The Maths Faculty noted mixed results as it knocked the confidence of some students and it began to have a detrimental effect. Success was achieved where a student was working at the top of a group so moving them to the set above pushed them out of their comfort zone but they were still able to cope with the work. This general strategy is used in maths, as it is better for a student to be in a higher group so they do not 'coast' in the group below.</w:t>
            </w:r>
          </w:p>
          <w:p w:rsidR="00A640FA" w:rsidRPr="00FC255F" w:rsidRDefault="00A640FA" w:rsidP="00096DEF">
            <w:pPr>
              <w:rPr>
                <w:rFonts w:ascii="Calibri" w:hAnsi="Calibri"/>
                <w:sz w:val="24"/>
                <w:szCs w:val="24"/>
              </w:rPr>
            </w:pPr>
          </w:p>
        </w:tc>
        <w:tc>
          <w:tcPr>
            <w:tcW w:w="2747" w:type="dxa"/>
          </w:tcPr>
          <w:p w:rsidR="00A640FA" w:rsidRPr="00FC255F" w:rsidRDefault="00A640FA" w:rsidP="00B63AE9">
            <w:pPr>
              <w:rPr>
                <w:rFonts w:ascii="Calibri" w:hAnsi="Calibri"/>
              </w:rPr>
            </w:pPr>
            <w:r>
              <w:rPr>
                <w:rFonts w:ascii="Calibri" w:hAnsi="Calibri"/>
              </w:rPr>
              <w:t>The Head of Maths next year has been tasked with generating a specific intervention programme to develop the numeracy skills of a wider range of disadvantaged and under-achieving students.</w:t>
            </w:r>
          </w:p>
        </w:tc>
      </w:tr>
      <w:tr w:rsidR="00A640FA" w:rsidTr="00A92985">
        <w:trPr>
          <w:trHeight w:val="2637"/>
        </w:trPr>
        <w:tc>
          <w:tcPr>
            <w:tcW w:w="1786" w:type="dxa"/>
            <w:shd w:val="clear" w:color="auto" w:fill="E2EFD9" w:themeFill="accent6" w:themeFillTint="33"/>
            <w:vAlign w:val="center"/>
          </w:tcPr>
          <w:p w:rsidR="00A640FA" w:rsidRPr="000322E4" w:rsidRDefault="00A640FA" w:rsidP="002B03FE">
            <w:pPr>
              <w:jc w:val="center"/>
              <w:rPr>
                <w:b/>
                <w:sz w:val="24"/>
                <w:szCs w:val="24"/>
              </w:rPr>
            </w:pPr>
            <w:bookmarkStart w:id="0" w:name="_GoBack" w:colFirst="1" w:colLast="1"/>
            <w:r>
              <w:rPr>
                <w:b/>
                <w:sz w:val="24"/>
                <w:szCs w:val="24"/>
              </w:rPr>
              <w:t>Teaching Assistant bookings</w:t>
            </w:r>
          </w:p>
        </w:tc>
        <w:tc>
          <w:tcPr>
            <w:tcW w:w="1231" w:type="dxa"/>
          </w:tcPr>
          <w:p w:rsidR="00A640FA" w:rsidRPr="00BD0C20" w:rsidRDefault="00A640FA" w:rsidP="002B03FE">
            <w:pPr>
              <w:rPr>
                <w:sz w:val="20"/>
                <w:szCs w:val="20"/>
              </w:rPr>
            </w:pPr>
            <w:r>
              <w:rPr>
                <w:sz w:val="20"/>
                <w:szCs w:val="20"/>
              </w:rPr>
              <w:t>£30,036</w:t>
            </w:r>
          </w:p>
        </w:tc>
        <w:tc>
          <w:tcPr>
            <w:tcW w:w="4692" w:type="dxa"/>
          </w:tcPr>
          <w:p w:rsidR="00A640FA" w:rsidRPr="00201E46" w:rsidRDefault="00A640FA" w:rsidP="002B03FE">
            <w:pPr>
              <w:rPr>
                <w:rFonts w:ascii="Calibri" w:hAnsi="Calibri"/>
                <w:color w:val="FF0000"/>
                <w:sz w:val="24"/>
                <w:szCs w:val="24"/>
              </w:rPr>
            </w:pPr>
            <w:r w:rsidRPr="00A433F8">
              <w:rPr>
                <w:rFonts w:ascii="Calibri" w:hAnsi="Calibri"/>
                <w:sz w:val="24"/>
                <w:szCs w:val="24"/>
              </w:rPr>
              <w:t xml:space="preserve">99 students </w:t>
            </w:r>
            <w:r>
              <w:rPr>
                <w:rFonts w:ascii="Calibri" w:hAnsi="Calibri"/>
                <w:sz w:val="24"/>
                <w:szCs w:val="24"/>
              </w:rPr>
              <w:t>have received bookings for Teaching Assistants this year. 35 (55%) of these are disadvantaged students.  We operate a specific booking system where teachers identify a student who requires support for a specific lesson.  This is an evidence based approach using information from the Sutton Trust Toolkit from the Education Endowment Foundation.</w:t>
            </w:r>
          </w:p>
        </w:tc>
        <w:tc>
          <w:tcPr>
            <w:tcW w:w="2747" w:type="dxa"/>
          </w:tcPr>
          <w:p w:rsidR="00A640FA" w:rsidRPr="00201E46" w:rsidRDefault="00A640FA" w:rsidP="002B03FE">
            <w:pPr>
              <w:rPr>
                <w:rFonts w:ascii="Calibri" w:hAnsi="Calibri"/>
                <w:color w:val="FF0000"/>
              </w:rPr>
            </w:pPr>
            <w:r w:rsidRPr="00A433F8">
              <w:rPr>
                <w:rFonts w:ascii="Calibri" w:hAnsi="Calibri"/>
              </w:rPr>
              <w:t>Targeted provision of the Teaching Assistants will continue next year to ensure specific support is given to students where and when it is required.</w:t>
            </w:r>
          </w:p>
        </w:tc>
      </w:tr>
      <w:bookmarkEnd w:id="0"/>
    </w:tbl>
    <w:p w:rsidR="00546BB6" w:rsidRDefault="00546BB6" w:rsidP="00546BB6">
      <w:pPr>
        <w:rPr>
          <w:b/>
          <w:sz w:val="28"/>
          <w:szCs w:val="28"/>
        </w:rPr>
      </w:pPr>
    </w:p>
    <w:sectPr w:rsidR="00546BB6" w:rsidSect="00F409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585" w:rsidRDefault="00443585" w:rsidP="000D0FC8">
      <w:pPr>
        <w:spacing w:after="0" w:line="240" w:lineRule="auto"/>
      </w:pPr>
      <w:r>
        <w:separator/>
      </w:r>
    </w:p>
  </w:endnote>
  <w:endnote w:type="continuationSeparator" w:id="0">
    <w:p w:rsidR="00443585" w:rsidRDefault="00443585" w:rsidP="000D0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585" w:rsidRDefault="00443585" w:rsidP="000D0FC8">
      <w:pPr>
        <w:spacing w:after="0" w:line="240" w:lineRule="auto"/>
      </w:pPr>
      <w:r>
        <w:separator/>
      </w:r>
    </w:p>
  </w:footnote>
  <w:footnote w:type="continuationSeparator" w:id="0">
    <w:p w:rsidR="00443585" w:rsidRDefault="00443585" w:rsidP="000D0F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53D5B"/>
    <w:multiLevelType w:val="hybridMultilevel"/>
    <w:tmpl w:val="0E8C50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2359F6"/>
    <w:multiLevelType w:val="hybridMultilevel"/>
    <w:tmpl w:val="122EC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7522E1"/>
    <w:multiLevelType w:val="hybridMultilevel"/>
    <w:tmpl w:val="268402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6E4C6F"/>
    <w:multiLevelType w:val="hybridMultilevel"/>
    <w:tmpl w:val="9934F0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B44083"/>
    <w:multiLevelType w:val="hybridMultilevel"/>
    <w:tmpl w:val="3D287B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11399A"/>
    <w:multiLevelType w:val="hybridMultilevel"/>
    <w:tmpl w:val="F3603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FA0F05"/>
    <w:multiLevelType w:val="hybridMultilevel"/>
    <w:tmpl w:val="1174E3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CC3013"/>
    <w:multiLevelType w:val="hybridMultilevel"/>
    <w:tmpl w:val="D0FA97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7"/>
  </w:num>
  <w:num w:numId="5">
    <w:abstractNumId w:val="6"/>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79D"/>
    <w:rsid w:val="00020238"/>
    <w:rsid w:val="000322E4"/>
    <w:rsid w:val="00092F38"/>
    <w:rsid w:val="00096DEF"/>
    <w:rsid w:val="000D0FC8"/>
    <w:rsid w:val="000D3AE9"/>
    <w:rsid w:val="000E71A4"/>
    <w:rsid w:val="000F1EC7"/>
    <w:rsid w:val="000F4790"/>
    <w:rsid w:val="00103092"/>
    <w:rsid w:val="00112AD0"/>
    <w:rsid w:val="0013727E"/>
    <w:rsid w:val="0014422E"/>
    <w:rsid w:val="00147E95"/>
    <w:rsid w:val="001A41E0"/>
    <w:rsid w:val="001B6A90"/>
    <w:rsid w:val="001F76B3"/>
    <w:rsid w:val="00201E46"/>
    <w:rsid w:val="00203A18"/>
    <w:rsid w:val="0022224C"/>
    <w:rsid w:val="0022797D"/>
    <w:rsid w:val="00261664"/>
    <w:rsid w:val="00282E83"/>
    <w:rsid w:val="00283DF7"/>
    <w:rsid w:val="002A21C5"/>
    <w:rsid w:val="002B03FE"/>
    <w:rsid w:val="002F7F1B"/>
    <w:rsid w:val="00305158"/>
    <w:rsid w:val="003E77BB"/>
    <w:rsid w:val="00431846"/>
    <w:rsid w:val="00443585"/>
    <w:rsid w:val="004607A9"/>
    <w:rsid w:val="00466DE3"/>
    <w:rsid w:val="004A604D"/>
    <w:rsid w:val="004D6EF6"/>
    <w:rsid w:val="00521E66"/>
    <w:rsid w:val="005378E3"/>
    <w:rsid w:val="00546BB6"/>
    <w:rsid w:val="005630A1"/>
    <w:rsid w:val="00564FB4"/>
    <w:rsid w:val="00567215"/>
    <w:rsid w:val="00570A9F"/>
    <w:rsid w:val="005A01A4"/>
    <w:rsid w:val="005A066C"/>
    <w:rsid w:val="005A3E2E"/>
    <w:rsid w:val="005C026D"/>
    <w:rsid w:val="006218BA"/>
    <w:rsid w:val="00633607"/>
    <w:rsid w:val="0063368B"/>
    <w:rsid w:val="00636ADF"/>
    <w:rsid w:val="00651E19"/>
    <w:rsid w:val="00692CB2"/>
    <w:rsid w:val="006B6C3E"/>
    <w:rsid w:val="006D03E0"/>
    <w:rsid w:val="0077543F"/>
    <w:rsid w:val="00784875"/>
    <w:rsid w:val="00786E96"/>
    <w:rsid w:val="0079650A"/>
    <w:rsid w:val="007C6D59"/>
    <w:rsid w:val="0083530E"/>
    <w:rsid w:val="008365EB"/>
    <w:rsid w:val="0084116F"/>
    <w:rsid w:val="00854578"/>
    <w:rsid w:val="00857061"/>
    <w:rsid w:val="008669E9"/>
    <w:rsid w:val="00893C80"/>
    <w:rsid w:val="008C5964"/>
    <w:rsid w:val="00910A4A"/>
    <w:rsid w:val="00935BE6"/>
    <w:rsid w:val="00951D59"/>
    <w:rsid w:val="009525B5"/>
    <w:rsid w:val="00965EE6"/>
    <w:rsid w:val="00975FE8"/>
    <w:rsid w:val="00980314"/>
    <w:rsid w:val="009E179D"/>
    <w:rsid w:val="00A31B58"/>
    <w:rsid w:val="00A36860"/>
    <w:rsid w:val="00A433F8"/>
    <w:rsid w:val="00A46B33"/>
    <w:rsid w:val="00A55F43"/>
    <w:rsid w:val="00A640FA"/>
    <w:rsid w:val="00A83325"/>
    <w:rsid w:val="00A90F17"/>
    <w:rsid w:val="00AA35E0"/>
    <w:rsid w:val="00AC5E29"/>
    <w:rsid w:val="00AD3CB2"/>
    <w:rsid w:val="00B63AE9"/>
    <w:rsid w:val="00B83E5B"/>
    <w:rsid w:val="00BD0C20"/>
    <w:rsid w:val="00BD24DA"/>
    <w:rsid w:val="00BD3632"/>
    <w:rsid w:val="00BD5626"/>
    <w:rsid w:val="00BE018F"/>
    <w:rsid w:val="00C1544D"/>
    <w:rsid w:val="00C21AFB"/>
    <w:rsid w:val="00C67272"/>
    <w:rsid w:val="00CB3365"/>
    <w:rsid w:val="00D13D61"/>
    <w:rsid w:val="00D4587F"/>
    <w:rsid w:val="00D84A34"/>
    <w:rsid w:val="00D971F2"/>
    <w:rsid w:val="00DC128C"/>
    <w:rsid w:val="00E23C8C"/>
    <w:rsid w:val="00E4726A"/>
    <w:rsid w:val="00E57840"/>
    <w:rsid w:val="00EA010E"/>
    <w:rsid w:val="00EC565A"/>
    <w:rsid w:val="00EC5B2D"/>
    <w:rsid w:val="00ED03E7"/>
    <w:rsid w:val="00ED15DE"/>
    <w:rsid w:val="00EF365A"/>
    <w:rsid w:val="00F12F65"/>
    <w:rsid w:val="00F135C6"/>
    <w:rsid w:val="00F16563"/>
    <w:rsid w:val="00F30F9C"/>
    <w:rsid w:val="00F31E50"/>
    <w:rsid w:val="00F409D8"/>
    <w:rsid w:val="00F65636"/>
    <w:rsid w:val="00F6689C"/>
    <w:rsid w:val="00F854DA"/>
    <w:rsid w:val="00FB4938"/>
    <w:rsid w:val="00FC1ABC"/>
    <w:rsid w:val="00FC255F"/>
    <w:rsid w:val="00FC455F"/>
    <w:rsid w:val="00FD5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742EF"/>
  <w15:docId w15:val="{19C84C9A-19E8-4473-80E7-F19B3B730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6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17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79D"/>
    <w:rPr>
      <w:rFonts w:ascii="Segoe UI" w:hAnsi="Segoe UI" w:cs="Segoe UI"/>
      <w:sz w:val="18"/>
      <w:szCs w:val="18"/>
    </w:rPr>
  </w:style>
  <w:style w:type="table" w:styleId="TableGrid">
    <w:name w:val="Table Grid"/>
    <w:basedOn w:val="TableNormal"/>
    <w:uiPriority w:val="39"/>
    <w:rsid w:val="00112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525B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D0F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FC8"/>
  </w:style>
  <w:style w:type="paragraph" w:styleId="Footer">
    <w:name w:val="footer"/>
    <w:basedOn w:val="Normal"/>
    <w:link w:val="FooterChar"/>
    <w:uiPriority w:val="99"/>
    <w:unhideWhenUsed/>
    <w:rsid w:val="000D0F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FC8"/>
  </w:style>
  <w:style w:type="paragraph" w:styleId="ListParagraph">
    <w:name w:val="List Paragraph"/>
    <w:basedOn w:val="Normal"/>
    <w:uiPriority w:val="34"/>
    <w:qFormat/>
    <w:rsid w:val="005A066C"/>
    <w:pPr>
      <w:ind w:left="720"/>
      <w:contextualSpacing/>
    </w:pPr>
  </w:style>
  <w:style w:type="paragraph" w:customStyle="1" w:styleId="Default">
    <w:name w:val="Default"/>
    <w:rsid w:val="0063360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704912">
      <w:bodyDiv w:val="1"/>
      <w:marLeft w:val="0"/>
      <w:marRight w:val="0"/>
      <w:marTop w:val="0"/>
      <w:marBottom w:val="0"/>
      <w:divBdr>
        <w:top w:val="none" w:sz="0" w:space="0" w:color="auto"/>
        <w:left w:val="none" w:sz="0" w:space="0" w:color="auto"/>
        <w:bottom w:val="none" w:sz="0" w:space="0" w:color="auto"/>
        <w:right w:val="none" w:sz="0" w:space="0" w:color="auto"/>
      </w:divBdr>
      <w:divsChild>
        <w:div w:id="1568222773">
          <w:marLeft w:val="0"/>
          <w:marRight w:val="0"/>
          <w:marTop w:val="0"/>
          <w:marBottom w:val="0"/>
          <w:divBdr>
            <w:top w:val="none" w:sz="0" w:space="0" w:color="auto"/>
            <w:left w:val="none" w:sz="0" w:space="0" w:color="auto"/>
            <w:bottom w:val="none" w:sz="0" w:space="0" w:color="auto"/>
            <w:right w:val="none" w:sz="0" w:space="0" w:color="auto"/>
          </w:divBdr>
        </w:div>
        <w:div w:id="1327172726">
          <w:marLeft w:val="0"/>
          <w:marRight w:val="0"/>
          <w:marTop w:val="0"/>
          <w:marBottom w:val="0"/>
          <w:divBdr>
            <w:top w:val="none" w:sz="0" w:space="0" w:color="auto"/>
            <w:left w:val="none" w:sz="0" w:space="0" w:color="auto"/>
            <w:bottom w:val="none" w:sz="0" w:space="0" w:color="auto"/>
            <w:right w:val="none" w:sz="0" w:space="0" w:color="auto"/>
          </w:divBdr>
        </w:div>
      </w:divsChild>
    </w:div>
    <w:div w:id="346906053">
      <w:bodyDiv w:val="1"/>
      <w:marLeft w:val="0"/>
      <w:marRight w:val="0"/>
      <w:marTop w:val="0"/>
      <w:marBottom w:val="0"/>
      <w:divBdr>
        <w:top w:val="none" w:sz="0" w:space="0" w:color="auto"/>
        <w:left w:val="none" w:sz="0" w:space="0" w:color="auto"/>
        <w:bottom w:val="none" w:sz="0" w:space="0" w:color="auto"/>
        <w:right w:val="none" w:sz="0" w:space="0" w:color="auto"/>
      </w:divBdr>
    </w:div>
    <w:div w:id="630864418">
      <w:bodyDiv w:val="1"/>
      <w:marLeft w:val="0"/>
      <w:marRight w:val="0"/>
      <w:marTop w:val="0"/>
      <w:marBottom w:val="0"/>
      <w:divBdr>
        <w:top w:val="none" w:sz="0" w:space="0" w:color="auto"/>
        <w:left w:val="none" w:sz="0" w:space="0" w:color="auto"/>
        <w:bottom w:val="none" w:sz="0" w:space="0" w:color="auto"/>
        <w:right w:val="none" w:sz="0" w:space="0" w:color="auto"/>
      </w:divBdr>
    </w:div>
    <w:div w:id="634527506">
      <w:bodyDiv w:val="1"/>
      <w:marLeft w:val="0"/>
      <w:marRight w:val="0"/>
      <w:marTop w:val="0"/>
      <w:marBottom w:val="0"/>
      <w:divBdr>
        <w:top w:val="none" w:sz="0" w:space="0" w:color="auto"/>
        <w:left w:val="none" w:sz="0" w:space="0" w:color="auto"/>
        <w:bottom w:val="none" w:sz="0" w:space="0" w:color="auto"/>
        <w:right w:val="none" w:sz="0" w:space="0" w:color="auto"/>
      </w:divBdr>
    </w:div>
    <w:div w:id="946737695">
      <w:bodyDiv w:val="1"/>
      <w:marLeft w:val="0"/>
      <w:marRight w:val="0"/>
      <w:marTop w:val="0"/>
      <w:marBottom w:val="0"/>
      <w:divBdr>
        <w:top w:val="none" w:sz="0" w:space="0" w:color="auto"/>
        <w:left w:val="none" w:sz="0" w:space="0" w:color="auto"/>
        <w:bottom w:val="none" w:sz="0" w:space="0" w:color="auto"/>
        <w:right w:val="none" w:sz="0" w:space="0" w:color="auto"/>
      </w:divBdr>
      <w:divsChild>
        <w:div w:id="162209535">
          <w:marLeft w:val="0"/>
          <w:marRight w:val="0"/>
          <w:marTop w:val="0"/>
          <w:marBottom w:val="0"/>
          <w:divBdr>
            <w:top w:val="none" w:sz="0" w:space="0" w:color="auto"/>
            <w:left w:val="none" w:sz="0" w:space="0" w:color="auto"/>
            <w:bottom w:val="none" w:sz="0" w:space="0" w:color="auto"/>
            <w:right w:val="none" w:sz="0" w:space="0" w:color="auto"/>
          </w:divBdr>
        </w:div>
        <w:div w:id="984554570">
          <w:marLeft w:val="0"/>
          <w:marRight w:val="0"/>
          <w:marTop w:val="0"/>
          <w:marBottom w:val="0"/>
          <w:divBdr>
            <w:top w:val="none" w:sz="0" w:space="0" w:color="auto"/>
            <w:left w:val="none" w:sz="0" w:space="0" w:color="auto"/>
            <w:bottom w:val="none" w:sz="0" w:space="0" w:color="auto"/>
            <w:right w:val="none" w:sz="0" w:space="0" w:color="auto"/>
          </w:divBdr>
        </w:div>
        <w:div w:id="993142926">
          <w:marLeft w:val="0"/>
          <w:marRight w:val="0"/>
          <w:marTop w:val="0"/>
          <w:marBottom w:val="0"/>
          <w:divBdr>
            <w:top w:val="none" w:sz="0" w:space="0" w:color="auto"/>
            <w:left w:val="none" w:sz="0" w:space="0" w:color="auto"/>
            <w:bottom w:val="none" w:sz="0" w:space="0" w:color="auto"/>
            <w:right w:val="none" w:sz="0" w:space="0" w:color="auto"/>
          </w:divBdr>
        </w:div>
        <w:div w:id="1405446166">
          <w:marLeft w:val="0"/>
          <w:marRight w:val="0"/>
          <w:marTop w:val="0"/>
          <w:marBottom w:val="0"/>
          <w:divBdr>
            <w:top w:val="none" w:sz="0" w:space="0" w:color="auto"/>
            <w:left w:val="none" w:sz="0" w:space="0" w:color="auto"/>
            <w:bottom w:val="none" w:sz="0" w:space="0" w:color="auto"/>
            <w:right w:val="none" w:sz="0" w:space="0" w:color="auto"/>
          </w:divBdr>
        </w:div>
        <w:div w:id="1442454086">
          <w:marLeft w:val="0"/>
          <w:marRight w:val="0"/>
          <w:marTop w:val="0"/>
          <w:marBottom w:val="0"/>
          <w:divBdr>
            <w:top w:val="none" w:sz="0" w:space="0" w:color="auto"/>
            <w:left w:val="none" w:sz="0" w:space="0" w:color="auto"/>
            <w:bottom w:val="none" w:sz="0" w:space="0" w:color="auto"/>
            <w:right w:val="none" w:sz="0" w:space="0" w:color="auto"/>
          </w:divBdr>
        </w:div>
        <w:div w:id="1843396687">
          <w:marLeft w:val="0"/>
          <w:marRight w:val="0"/>
          <w:marTop w:val="0"/>
          <w:marBottom w:val="0"/>
          <w:divBdr>
            <w:top w:val="none" w:sz="0" w:space="0" w:color="auto"/>
            <w:left w:val="none" w:sz="0" w:space="0" w:color="auto"/>
            <w:bottom w:val="none" w:sz="0" w:space="0" w:color="auto"/>
            <w:right w:val="none" w:sz="0" w:space="0" w:color="auto"/>
          </w:divBdr>
        </w:div>
        <w:div w:id="1936210783">
          <w:marLeft w:val="0"/>
          <w:marRight w:val="0"/>
          <w:marTop w:val="0"/>
          <w:marBottom w:val="0"/>
          <w:divBdr>
            <w:top w:val="none" w:sz="0" w:space="0" w:color="auto"/>
            <w:left w:val="none" w:sz="0" w:space="0" w:color="auto"/>
            <w:bottom w:val="none" w:sz="0" w:space="0" w:color="auto"/>
            <w:right w:val="none" w:sz="0" w:space="0" w:color="auto"/>
          </w:divBdr>
        </w:div>
      </w:divsChild>
    </w:div>
    <w:div w:id="957641470">
      <w:bodyDiv w:val="1"/>
      <w:marLeft w:val="0"/>
      <w:marRight w:val="0"/>
      <w:marTop w:val="0"/>
      <w:marBottom w:val="0"/>
      <w:divBdr>
        <w:top w:val="none" w:sz="0" w:space="0" w:color="auto"/>
        <w:left w:val="none" w:sz="0" w:space="0" w:color="auto"/>
        <w:bottom w:val="none" w:sz="0" w:space="0" w:color="auto"/>
        <w:right w:val="none" w:sz="0" w:space="0" w:color="auto"/>
      </w:divBdr>
    </w:div>
    <w:div w:id="1238173032">
      <w:bodyDiv w:val="1"/>
      <w:marLeft w:val="0"/>
      <w:marRight w:val="0"/>
      <w:marTop w:val="0"/>
      <w:marBottom w:val="0"/>
      <w:divBdr>
        <w:top w:val="none" w:sz="0" w:space="0" w:color="auto"/>
        <w:left w:val="none" w:sz="0" w:space="0" w:color="auto"/>
        <w:bottom w:val="none" w:sz="0" w:space="0" w:color="auto"/>
        <w:right w:val="none" w:sz="0" w:space="0" w:color="auto"/>
      </w:divBdr>
      <w:divsChild>
        <w:div w:id="1556503932">
          <w:marLeft w:val="0"/>
          <w:marRight w:val="0"/>
          <w:marTop w:val="0"/>
          <w:marBottom w:val="0"/>
          <w:divBdr>
            <w:top w:val="none" w:sz="0" w:space="0" w:color="auto"/>
            <w:left w:val="none" w:sz="0" w:space="0" w:color="auto"/>
            <w:bottom w:val="none" w:sz="0" w:space="0" w:color="auto"/>
            <w:right w:val="none" w:sz="0" w:space="0" w:color="auto"/>
          </w:divBdr>
        </w:div>
        <w:div w:id="1865514885">
          <w:marLeft w:val="0"/>
          <w:marRight w:val="0"/>
          <w:marTop w:val="0"/>
          <w:marBottom w:val="0"/>
          <w:divBdr>
            <w:top w:val="none" w:sz="0" w:space="0" w:color="auto"/>
            <w:left w:val="none" w:sz="0" w:space="0" w:color="auto"/>
            <w:bottom w:val="none" w:sz="0" w:space="0" w:color="auto"/>
            <w:right w:val="none" w:sz="0" w:space="0" w:color="auto"/>
          </w:divBdr>
        </w:div>
      </w:divsChild>
    </w:div>
    <w:div w:id="1249315078">
      <w:bodyDiv w:val="1"/>
      <w:marLeft w:val="0"/>
      <w:marRight w:val="0"/>
      <w:marTop w:val="0"/>
      <w:marBottom w:val="0"/>
      <w:divBdr>
        <w:top w:val="none" w:sz="0" w:space="0" w:color="auto"/>
        <w:left w:val="none" w:sz="0" w:space="0" w:color="auto"/>
        <w:bottom w:val="none" w:sz="0" w:space="0" w:color="auto"/>
        <w:right w:val="none" w:sz="0" w:space="0" w:color="auto"/>
      </w:divBdr>
    </w:div>
    <w:div w:id="1345549387">
      <w:bodyDiv w:val="1"/>
      <w:marLeft w:val="0"/>
      <w:marRight w:val="0"/>
      <w:marTop w:val="0"/>
      <w:marBottom w:val="0"/>
      <w:divBdr>
        <w:top w:val="none" w:sz="0" w:space="0" w:color="auto"/>
        <w:left w:val="none" w:sz="0" w:space="0" w:color="auto"/>
        <w:bottom w:val="none" w:sz="0" w:space="0" w:color="auto"/>
        <w:right w:val="none" w:sz="0" w:space="0" w:color="auto"/>
      </w:divBdr>
      <w:divsChild>
        <w:div w:id="726953922">
          <w:marLeft w:val="0"/>
          <w:marRight w:val="0"/>
          <w:marTop w:val="0"/>
          <w:marBottom w:val="0"/>
          <w:divBdr>
            <w:top w:val="none" w:sz="0" w:space="0" w:color="auto"/>
            <w:left w:val="none" w:sz="0" w:space="0" w:color="auto"/>
            <w:bottom w:val="none" w:sz="0" w:space="0" w:color="auto"/>
            <w:right w:val="none" w:sz="0" w:space="0" w:color="auto"/>
          </w:divBdr>
        </w:div>
        <w:div w:id="488983646">
          <w:marLeft w:val="0"/>
          <w:marRight w:val="0"/>
          <w:marTop w:val="0"/>
          <w:marBottom w:val="0"/>
          <w:divBdr>
            <w:top w:val="none" w:sz="0" w:space="0" w:color="auto"/>
            <w:left w:val="none" w:sz="0" w:space="0" w:color="auto"/>
            <w:bottom w:val="none" w:sz="0" w:space="0" w:color="auto"/>
            <w:right w:val="none" w:sz="0" w:space="0" w:color="auto"/>
          </w:divBdr>
        </w:div>
        <w:div w:id="1164903492">
          <w:marLeft w:val="0"/>
          <w:marRight w:val="0"/>
          <w:marTop w:val="0"/>
          <w:marBottom w:val="0"/>
          <w:divBdr>
            <w:top w:val="none" w:sz="0" w:space="0" w:color="auto"/>
            <w:left w:val="none" w:sz="0" w:space="0" w:color="auto"/>
            <w:bottom w:val="none" w:sz="0" w:space="0" w:color="auto"/>
            <w:right w:val="none" w:sz="0" w:space="0" w:color="auto"/>
          </w:divBdr>
        </w:div>
        <w:div w:id="485248749">
          <w:marLeft w:val="0"/>
          <w:marRight w:val="0"/>
          <w:marTop w:val="0"/>
          <w:marBottom w:val="0"/>
          <w:divBdr>
            <w:top w:val="none" w:sz="0" w:space="0" w:color="auto"/>
            <w:left w:val="none" w:sz="0" w:space="0" w:color="auto"/>
            <w:bottom w:val="none" w:sz="0" w:space="0" w:color="auto"/>
            <w:right w:val="none" w:sz="0" w:space="0" w:color="auto"/>
          </w:divBdr>
        </w:div>
        <w:div w:id="1831600909">
          <w:marLeft w:val="0"/>
          <w:marRight w:val="0"/>
          <w:marTop w:val="0"/>
          <w:marBottom w:val="0"/>
          <w:divBdr>
            <w:top w:val="none" w:sz="0" w:space="0" w:color="auto"/>
            <w:left w:val="none" w:sz="0" w:space="0" w:color="auto"/>
            <w:bottom w:val="none" w:sz="0" w:space="0" w:color="auto"/>
            <w:right w:val="none" w:sz="0" w:space="0" w:color="auto"/>
          </w:divBdr>
        </w:div>
        <w:div w:id="452940405">
          <w:marLeft w:val="0"/>
          <w:marRight w:val="0"/>
          <w:marTop w:val="0"/>
          <w:marBottom w:val="0"/>
          <w:divBdr>
            <w:top w:val="none" w:sz="0" w:space="0" w:color="auto"/>
            <w:left w:val="none" w:sz="0" w:space="0" w:color="auto"/>
            <w:bottom w:val="none" w:sz="0" w:space="0" w:color="auto"/>
            <w:right w:val="none" w:sz="0" w:space="0" w:color="auto"/>
          </w:divBdr>
        </w:div>
        <w:div w:id="1750884154">
          <w:marLeft w:val="0"/>
          <w:marRight w:val="0"/>
          <w:marTop w:val="0"/>
          <w:marBottom w:val="0"/>
          <w:divBdr>
            <w:top w:val="none" w:sz="0" w:space="0" w:color="auto"/>
            <w:left w:val="none" w:sz="0" w:space="0" w:color="auto"/>
            <w:bottom w:val="none" w:sz="0" w:space="0" w:color="auto"/>
            <w:right w:val="none" w:sz="0" w:space="0" w:color="auto"/>
          </w:divBdr>
        </w:div>
      </w:divsChild>
    </w:div>
    <w:div w:id="1546983958">
      <w:bodyDiv w:val="1"/>
      <w:marLeft w:val="0"/>
      <w:marRight w:val="0"/>
      <w:marTop w:val="0"/>
      <w:marBottom w:val="0"/>
      <w:divBdr>
        <w:top w:val="none" w:sz="0" w:space="0" w:color="auto"/>
        <w:left w:val="none" w:sz="0" w:space="0" w:color="auto"/>
        <w:bottom w:val="none" w:sz="0" w:space="0" w:color="auto"/>
        <w:right w:val="none" w:sz="0" w:space="0" w:color="auto"/>
      </w:divBdr>
    </w:div>
    <w:div w:id="1622296282">
      <w:bodyDiv w:val="1"/>
      <w:marLeft w:val="0"/>
      <w:marRight w:val="0"/>
      <w:marTop w:val="0"/>
      <w:marBottom w:val="0"/>
      <w:divBdr>
        <w:top w:val="none" w:sz="0" w:space="0" w:color="auto"/>
        <w:left w:val="none" w:sz="0" w:space="0" w:color="auto"/>
        <w:bottom w:val="none" w:sz="0" w:space="0" w:color="auto"/>
        <w:right w:val="none" w:sz="0" w:space="0" w:color="auto"/>
      </w:divBdr>
      <w:divsChild>
        <w:div w:id="80103680">
          <w:marLeft w:val="0"/>
          <w:marRight w:val="0"/>
          <w:marTop w:val="0"/>
          <w:marBottom w:val="0"/>
          <w:divBdr>
            <w:top w:val="none" w:sz="0" w:space="0" w:color="auto"/>
            <w:left w:val="none" w:sz="0" w:space="0" w:color="auto"/>
            <w:bottom w:val="none" w:sz="0" w:space="0" w:color="auto"/>
            <w:right w:val="none" w:sz="0" w:space="0" w:color="auto"/>
          </w:divBdr>
        </w:div>
        <w:div w:id="324405372">
          <w:marLeft w:val="0"/>
          <w:marRight w:val="0"/>
          <w:marTop w:val="0"/>
          <w:marBottom w:val="0"/>
          <w:divBdr>
            <w:top w:val="none" w:sz="0" w:space="0" w:color="auto"/>
            <w:left w:val="none" w:sz="0" w:space="0" w:color="auto"/>
            <w:bottom w:val="none" w:sz="0" w:space="0" w:color="auto"/>
            <w:right w:val="none" w:sz="0" w:space="0" w:color="auto"/>
          </w:divBdr>
        </w:div>
        <w:div w:id="525414015">
          <w:marLeft w:val="0"/>
          <w:marRight w:val="0"/>
          <w:marTop w:val="0"/>
          <w:marBottom w:val="0"/>
          <w:divBdr>
            <w:top w:val="none" w:sz="0" w:space="0" w:color="auto"/>
            <w:left w:val="none" w:sz="0" w:space="0" w:color="auto"/>
            <w:bottom w:val="none" w:sz="0" w:space="0" w:color="auto"/>
            <w:right w:val="none" w:sz="0" w:space="0" w:color="auto"/>
          </w:divBdr>
        </w:div>
        <w:div w:id="1155992290">
          <w:marLeft w:val="0"/>
          <w:marRight w:val="0"/>
          <w:marTop w:val="0"/>
          <w:marBottom w:val="0"/>
          <w:divBdr>
            <w:top w:val="none" w:sz="0" w:space="0" w:color="auto"/>
            <w:left w:val="none" w:sz="0" w:space="0" w:color="auto"/>
            <w:bottom w:val="none" w:sz="0" w:space="0" w:color="auto"/>
            <w:right w:val="none" w:sz="0" w:space="0" w:color="auto"/>
          </w:divBdr>
        </w:div>
        <w:div w:id="1705128656">
          <w:marLeft w:val="0"/>
          <w:marRight w:val="0"/>
          <w:marTop w:val="0"/>
          <w:marBottom w:val="0"/>
          <w:divBdr>
            <w:top w:val="none" w:sz="0" w:space="0" w:color="auto"/>
            <w:left w:val="none" w:sz="0" w:space="0" w:color="auto"/>
            <w:bottom w:val="none" w:sz="0" w:space="0" w:color="auto"/>
            <w:right w:val="none" w:sz="0" w:space="0" w:color="auto"/>
          </w:divBdr>
        </w:div>
        <w:div w:id="1805081248">
          <w:marLeft w:val="0"/>
          <w:marRight w:val="0"/>
          <w:marTop w:val="0"/>
          <w:marBottom w:val="0"/>
          <w:divBdr>
            <w:top w:val="none" w:sz="0" w:space="0" w:color="auto"/>
            <w:left w:val="none" w:sz="0" w:space="0" w:color="auto"/>
            <w:bottom w:val="none" w:sz="0" w:space="0" w:color="auto"/>
            <w:right w:val="none" w:sz="0" w:space="0" w:color="auto"/>
          </w:divBdr>
        </w:div>
        <w:div w:id="1989744894">
          <w:marLeft w:val="0"/>
          <w:marRight w:val="0"/>
          <w:marTop w:val="0"/>
          <w:marBottom w:val="0"/>
          <w:divBdr>
            <w:top w:val="none" w:sz="0" w:space="0" w:color="auto"/>
            <w:left w:val="none" w:sz="0" w:space="0" w:color="auto"/>
            <w:bottom w:val="none" w:sz="0" w:space="0" w:color="auto"/>
            <w:right w:val="none" w:sz="0" w:space="0" w:color="auto"/>
          </w:divBdr>
        </w:div>
      </w:divsChild>
    </w:div>
    <w:div w:id="1978145113">
      <w:bodyDiv w:val="1"/>
      <w:marLeft w:val="0"/>
      <w:marRight w:val="0"/>
      <w:marTop w:val="0"/>
      <w:marBottom w:val="0"/>
      <w:divBdr>
        <w:top w:val="none" w:sz="0" w:space="0" w:color="auto"/>
        <w:left w:val="none" w:sz="0" w:space="0" w:color="auto"/>
        <w:bottom w:val="none" w:sz="0" w:space="0" w:color="auto"/>
        <w:right w:val="none" w:sz="0" w:space="0" w:color="auto"/>
      </w:divBdr>
    </w:div>
    <w:div w:id="204086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593D3B866131449910963688BD52B39" ma:contentTypeVersion="7" ma:contentTypeDescription="Create a new document." ma:contentTypeScope="" ma:versionID="948be3a4b2a548d5fef7271ff1007c9d">
  <xsd:schema xmlns:xsd="http://www.w3.org/2001/XMLSchema" xmlns:xs="http://www.w3.org/2001/XMLSchema" xmlns:p="http://schemas.microsoft.com/office/2006/metadata/properties" xmlns:ns2="f8431983-b05b-4a40-97c8-d47d280e9d13" targetNamespace="http://schemas.microsoft.com/office/2006/metadata/properties" ma:root="true" ma:fieldsID="ac4c74da840877909b91eb99eabf0366" ns2:_="">
    <xsd:import namespace="f8431983-b05b-4a40-97c8-d47d280e9d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31983-b05b-4a40-97c8-d47d280e9d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3C1002-D6E3-4F78-886C-809B0A95F2A7}">
  <ds:schemaRefs>
    <ds:schemaRef ds:uri="http://schemas.openxmlformats.org/officeDocument/2006/bibliography"/>
  </ds:schemaRefs>
</ds:datastoreItem>
</file>

<file path=customXml/itemProps2.xml><?xml version="1.0" encoding="utf-8"?>
<ds:datastoreItem xmlns:ds="http://schemas.openxmlformats.org/officeDocument/2006/customXml" ds:itemID="{757C7F12-B16D-492D-A25C-4488A72FB3E6}"/>
</file>

<file path=customXml/itemProps3.xml><?xml version="1.0" encoding="utf-8"?>
<ds:datastoreItem xmlns:ds="http://schemas.openxmlformats.org/officeDocument/2006/customXml" ds:itemID="{1C393F4F-96B8-4FFB-872C-5BCDC1DF2FB1}"/>
</file>

<file path=customXml/itemProps4.xml><?xml version="1.0" encoding="utf-8"?>
<ds:datastoreItem xmlns:ds="http://schemas.openxmlformats.org/officeDocument/2006/customXml" ds:itemID="{A0C1CDE1-4858-4624-81CB-C3A4CD5BE61E}"/>
</file>

<file path=docProps/app.xml><?xml version="1.0" encoding="utf-8"?>
<Properties xmlns="http://schemas.openxmlformats.org/officeDocument/2006/extended-properties" xmlns:vt="http://schemas.openxmlformats.org/officeDocument/2006/docPropsVTypes">
  <Template>Normal</Template>
  <TotalTime>4</TotalTime>
  <Pages>6</Pages>
  <Words>1770</Words>
  <Characters>10090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Penair School</Company>
  <LinksUpToDate>false</LinksUpToDate>
  <CharactersWithSpaces>11837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 Hosking</dc:creator>
  <cp:lastModifiedBy>Nicola Hosking</cp:lastModifiedBy>
  <cp:revision>2</cp:revision>
  <cp:lastPrinted>2018-04-27T07:28:00Z</cp:lastPrinted>
  <dcterms:created xsi:type="dcterms:W3CDTF">2019-11-06T11:36:00Z</dcterms:created>
  <dcterms:modified xsi:type="dcterms:W3CDTF">2019-11-06T11:36:00Z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0x010100E593D3B866131449910963688BD52B39</vt:lpwstr>
  </property>
</Properties>
</file>